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Cabazon Band of Cahuilla Indians</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Cabazon Band of Cahuilla Indians's climate risk profile and geographic context.</w:t>
      </w:r>
    </w:p>
    <w:p>
      <w:r>
        <w:br w:type="page"/>
      </w:r>
    </w:p>
    <w:p>
      <w:pPr>
        <w:pStyle w:val="Heading2"/>
      </w:pPr>
      <w:r>
        <w:t>Executive Summary</w:t>
      </w:r>
    </w:p>
    <w:p>
      <w:pPr>
        <w:pStyle w:val="HSTitle"/>
      </w:pPr>
      <w:r>
        <w:t>Cabazon Band of Cahuilla Indians -- CA</w:t>
      </w:r>
    </w:p>
    <w:p>
      <w:pPr>
        <w:pStyle w:val="HSBody"/>
      </w:pPr>
      <w:r>
        <w:t>This strategy document outlines Cabazon Band of Cahuilla Indians's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$411,173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Cabazon Band of Cahuilla Indians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Cabazon Band of Cahuilla Indians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Cabazon Band of Cahuilla Indians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Cabazon Band of Cahuilla Indians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Cabazon Band of Cahuilla Indians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Cabazon Band of Cahuilla Indians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Cabazon Band of Cahuilla Indians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Cabazon Band of Cahuilla Indians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Cabazon Band of Cahuilla Indians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Cabazon Band of Cahuilla Indians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Cabazon Band of Cahuilla Indians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Cabazon Band of Cahuilla Indians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Cabazon Band of Cahuilla Indians's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Cabazon Band of Cahuilla Indians's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Cabazon Band of Cahuilla Indians's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Cabazon Band of Cahuilla Indians.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Cabazon Band of Cahuilla Indians's advocacy engagements during the current congressional session.</w:t>
      </w:r>
    </w:p>
    <w:p>
      <w:pPr>
        <w:pStyle w:val="HSSection"/>
      </w:pPr>
      <w:r>
        <w:t>Core Message</w:t>
      </w:r>
    </w:p>
    <w:p>
      <w:pPr>
        <w:pStyle w:val="HSBody"/>
      </w:pPr>
      <w:r>
        <w:t>Cabazon Band of Cahuilla Indians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Cabazon Band of Cahuilla Indians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Cabazon Band of Cahuilla Indians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