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Goshute Reservation, Nevada and Utah</w:t>
      </w:r>
    </w:p>
    <w:p>
      <w:pPr>
        <w:pStyle w:val="HSBody"/>
      </w:pPr>
      <w:r>
        <w:t>Prepared for the offices of: 4 Senators, 2 Representatives</w:t>
      </w:r>
    </w:p>
    <w:p>
      <w:pPr>
        <w:pStyle w:val="HSBody"/>
      </w:pPr>
      <w:r>
        <w:t>State(s): NV, UT</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Goshute Reservation, Nevada and Utah's climate risk profile and geographic context.</w:t>
      </w:r>
    </w:p>
    <w:p>
      <w:r>
        <w:br w:type="page"/>
      </w:r>
    </w:p>
    <w:p>
      <w:pPr>
        <w:pStyle w:val="Heading2"/>
      </w:pPr>
      <w:r>
        <w:t>Executive Summary</w:t>
      </w:r>
    </w:p>
    <w:p>
      <w:pPr>
        <w:pStyle w:val="HSTitle"/>
      </w:pPr>
      <w:r>
        <w:t>Confederated Tribes of the Goshute Reservation, Nevada and Utah -- NV, UT</w:t>
      </w:r>
    </w:p>
    <w:p>
      <w:pPr>
        <w:pStyle w:val="HSBody"/>
      </w:pPr>
      <w:r>
        <w:t>This strategy document outlines Confederated Tribes of the Goshute Reservation, Nevada and Utah's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$4,746,612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r>
        <w:tc>
          <w:tcPr>
            <w:tcW w:type="dxa" w:w="1872"/>
            <w:shd w:fill="FFFFFF" w:val="clear"/>
          </w:tcPr>
          <w:p>
            <w:r>
              <w:t>Rep. Celeste Maloy (R-UT-02)</w:t>
            </w:r>
          </w:p>
        </w:tc>
        <w:tc>
          <w:tcPr>
            <w:tcW w:type="dxa" w:w="1872"/>
            <w:shd w:fill="FFFFFF" w:val="clear"/>
          </w:tcPr>
          <w:p>
            <w:r>
              <w:t>Representative</w:t>
            </w:r>
          </w:p>
        </w:tc>
        <w:tc>
          <w:tcPr>
            <w:tcW w:type="dxa" w:w="1872"/>
            <w:shd w:fill="FFFFFF" w:val="clear"/>
          </w:tcPr>
          <w:p>
            <w:r>
              <w:t>UT</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 Energy and Water Development and Related Agencies</w:t>
            </w:r>
          </w:p>
        </w:tc>
      </w:tr>
    </w:tbl>
    <w:p>
      <w:pPr>
        <w:pStyle w:val="HSBody"/>
      </w:pPr>
      <w:r>
        <w:t>6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Sen. Mike Lee (R-UT): Sits on Senate Committee on Energy and Natural Resources; Energy. Direct influence on relevant programs.</w:t>
      </w:r>
    </w:p>
    <w:p>
      <w:pPr>
        <w:pStyle w:val="HSBody"/>
      </w:pPr>
      <w:r>
        <w:t>Sen. John R. Curtis (R-UT): Sits on Senate Committee on Commerce, Science, and Transportation. Direct influence on relevant programs.</w:t>
      </w:r>
    </w:p>
    <w:p>
      <w:pPr>
        <w:pStyle w:val="HSBody"/>
      </w:pPr>
      <w:r>
        <w:t>Rep. Mark E. Amodei (R-NV-02): Sits on House Committee on Natural Resources; House Committee on Appropriations; Interior, Environment, and Related Agencies. Direct influence on relevant programs.</w:t>
      </w:r>
    </w:p>
    <w:p>
      <w:pPr>
        <w:pStyle w:val="HSBody"/>
      </w:pPr>
      <w:r>
        <w:t>Rep. Celeste Maloy (R-UT-02): Sits on House Committee on Natural Resources; House Committee on Appropriations; Interior, Environment, and Related Agencies; Energy and Water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FEMA BRIC.</w:t>
      </w:r>
    </w:p>
    <w:p>
      <w:pPr>
        <w:pStyle w:val="HSBody"/>
      </w:pPr>
      <w:r>
        <w:t>Per-District Impact Allocation:</w:t>
      </w:r>
    </w:p>
    <w:p>
      <w:pPr>
        <w:pStyle w:val="HSBody"/>
      </w:pPr>
      <w:r>
        <w:t xml:space="preserve">  NV-02 (58% overlap): $525,600 - $700,800</w:t>
      </w:r>
    </w:p>
    <w:p>
      <w:pPr>
        <w:pStyle w:val="HSBody"/>
      </w:pPr>
      <w:r>
        <w:t xml:space="preserve">  UT-02 (42% overlap): $374,400 - $499,200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BIA Tribal Climate Resilience.</w:t>
      </w:r>
    </w:p>
    <w:p>
      <w:pPr>
        <w:pStyle w:val="HSBody"/>
      </w:pPr>
      <w:r>
        <w:t>Per-District Impact Allocation:</w:t>
      </w:r>
    </w:p>
    <w:p>
      <w:pPr>
        <w:pStyle w:val="HSBody"/>
      </w:pPr>
      <w:r>
        <w:t xml:space="preserve">  NV-02 (58% overlap): $157,680 - $210,240</w:t>
      </w:r>
    </w:p>
    <w:p>
      <w:pPr>
        <w:pStyle w:val="HSBody"/>
      </w:pPr>
      <w:r>
        <w:t xml:space="preserve">  UT-02 (42% overlap): $112,320 - $149,760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IRS Elective Pay.</w:t>
      </w:r>
    </w:p>
    <w:p>
      <w:pPr>
        <w:pStyle w:val="HSBody"/>
      </w:pPr>
      <w:r>
        <w:t>Per-District Impact Allocation:</w:t>
      </w:r>
    </w:p>
    <w:p>
      <w:pPr>
        <w:pStyle w:val="HSBody"/>
      </w:pPr>
      <w:r>
        <w:t xml:space="preserve">  NV-02 (58% overlap): $210,240 - $280,320</w:t>
      </w:r>
    </w:p>
    <w:p>
      <w:pPr>
        <w:pStyle w:val="HSBody"/>
      </w:pPr>
      <w:r>
        <w:t xml:space="preserve">  UT-02 (42% overlap): $149,760 - $199,680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FEMA Tribal Mitigation Plans.</w:t>
      </w:r>
    </w:p>
    <w:p>
      <w:pPr>
        <w:pStyle w:val="HSBody"/>
      </w:pPr>
      <w:r>
        <w:t>Per-District Impact Allocation:</w:t>
      </w:r>
    </w:p>
    <w:p>
      <w:pPr>
        <w:pStyle w:val="HSBody"/>
      </w:pPr>
      <w:r>
        <w:t xml:space="preserve">  NV-02 (58% overlap): $315,360 - $420,480</w:t>
      </w:r>
    </w:p>
    <w:p>
      <w:pPr>
        <w:pStyle w:val="HSBody"/>
      </w:pPr>
      <w:r>
        <w:t xml:space="preserve">  UT-02 (42% overlap): $224,640 - $299,520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USDA Wildfire Defense Grants.</w:t>
      </w:r>
    </w:p>
    <w:p>
      <w:pPr>
        <w:pStyle w:val="HSBody"/>
      </w:pPr>
      <w:r>
        <w:t>Per-District Impact Allocation:</w:t>
      </w:r>
    </w:p>
    <w:p>
      <w:pPr>
        <w:pStyle w:val="HSBody"/>
      </w:pPr>
      <w:r>
        <w:t xml:space="preserve">  NV-02 (58% overlap): $367,920 - $490,560</w:t>
      </w:r>
    </w:p>
    <w:p>
      <w:pPr>
        <w:pStyle w:val="HSBody"/>
      </w:pPr>
      <w:r>
        <w:t xml:space="preserve">  UT-02 (42% overlap): $262,080 - $349,440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$539,911</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$463,007</w:t>
            </w:r>
          </w:p>
        </w:tc>
        <w:tc>
          <w:tcPr>
            <w:tcW w:type="dxa" w:w="2340"/>
            <w:shd w:fill="FFFFFF" w:val="clear"/>
          </w:tcPr>
          <w:p>
            <w:r>
              <w:t>2023-10-01 - 2026-09-30</w:t>
            </w:r>
          </w:p>
        </w:tc>
      </w:tr>
    </w:tbl>
    <w:p>
      <w:pPr>
        <w:pStyle w:val="HSBody"/>
      </w:pPr>
      <w:r>
        <w:rPr>
          <w:b/>
        </w:rPr>
        <w:t>Total: $1,002,918</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EPA GAP funding to Confederated Tribes of the Goshute Reservation, Nevada and Utah generated an estimated $1,805,252-$2,407,003 in regional economic activity (BEA RIMS II methodology, output multiplier range 1.8-2.4x), supporting approximately 8-15 jobs (BLS employment requirements methodology).</w:t>
      </w:r>
    </w:p>
    <w:p>
      <w:pPr>
        <w:pStyle w:val="HSBody"/>
      </w:pPr>
      <w:r>
        <w:t>Hazard Alignment: Confederated Tribes of the Goshute Reservation, Nevada and Utah's wildfire risk profile reinforces the economic case for continued federal investment in EPA GAP.</w:t>
      </w:r>
    </w:p>
    <w:p>
      <w:pPr>
        <w:pStyle w:val="HSBody"/>
      </w:pPr>
      <w:r>
        <w:t>Per-District Impact Allocation:</w:t>
      </w:r>
    </w:p>
    <w:p>
      <w:pPr>
        <w:pStyle w:val="HSBody"/>
      </w:pPr>
      <w:r>
        <w:t xml:space="preserve">  NV-02 (58% overlap): $1,054,267 - $1,405,690</w:t>
      </w:r>
    </w:p>
    <w:p>
      <w:pPr>
        <w:pStyle w:val="HSBody"/>
      </w:pPr>
      <w:r>
        <w:t xml:space="preserve">  UT-02 (42% overlap): $750,985 - $1,001,313</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EPA GAP funding to Confederated Tribes of the Goshute Reservation, Nevada and Utah generated an estimated $1,805,252-$2,407,003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DOT PROTECT.</w:t>
      </w:r>
    </w:p>
    <w:p>
      <w:pPr>
        <w:pStyle w:val="HSBody"/>
      </w:pPr>
      <w:r>
        <w:t>Per-District Impact Allocation:</w:t>
      </w:r>
    </w:p>
    <w:p>
      <w:pPr>
        <w:pStyle w:val="HSBody"/>
      </w:pPr>
      <w:r>
        <w:t xml:space="preserve">  NV-02 (58% overlap): $262,800 - $350,400</w:t>
      </w:r>
    </w:p>
    <w:p>
      <w:pPr>
        <w:pStyle w:val="HSBody"/>
      </w:pPr>
      <w:r>
        <w:t xml:space="preserve">  UT-02 (42% overlap): $187,200 - $249,600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HUD IHBG.</w:t>
      </w:r>
    </w:p>
    <w:p>
      <w:pPr>
        <w:pStyle w:val="HSBody"/>
      </w:pPr>
      <w:r>
        <w:t>Per-District Impact Allocation:</w:t>
      </w:r>
    </w:p>
    <w:p>
      <w:pPr>
        <w:pStyle w:val="HSBody"/>
      </w:pPr>
      <w:r>
        <w:t xml:space="preserve">  NV-02 (58% overlap): $420,480 - $560,640</w:t>
      </w:r>
    </w:p>
    <w:p>
      <w:pPr>
        <w:pStyle w:val="HSBody"/>
      </w:pPr>
      <w:r>
        <w:t xml:space="preserve">  UT-02 (42% overlap): $299,520 - $399,360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EPA STAG.</w:t>
      </w:r>
    </w:p>
    <w:p>
      <w:pPr>
        <w:pStyle w:val="HSBody"/>
      </w:pPr>
      <w:r>
        <w:t>Per-District Impact Allocation:</w:t>
      </w:r>
    </w:p>
    <w:p>
      <w:pPr>
        <w:pStyle w:val="HSBody"/>
      </w:pPr>
      <w:r>
        <w:t xml:space="preserve">  NV-02 (58% overlap): $105,120 - $140,160</w:t>
      </w:r>
    </w:p>
    <w:p>
      <w:pPr>
        <w:pStyle w:val="HSBody"/>
      </w:pPr>
      <w:r>
        <w:t xml:space="preserve">  UT-02 (42% overlap): $74,880 - $99,840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DOE Indian Energy.</w:t>
      </w:r>
    </w:p>
    <w:p>
      <w:pPr>
        <w:pStyle w:val="HSBody"/>
      </w:pPr>
      <w:r>
        <w:t>Per-District Impact Allocation:</w:t>
      </w:r>
    </w:p>
    <w:p>
      <w:pPr>
        <w:pStyle w:val="HSBody"/>
      </w:pPr>
      <w:r>
        <w:t xml:space="preserve">  NV-02 (58% overlap): $210,240 - $280,320</w:t>
      </w:r>
    </w:p>
    <w:p>
      <w:pPr>
        <w:pStyle w:val="HSBody"/>
      </w:pPr>
      <w:r>
        <w:t xml:space="preserve">  UT-02 (42% overlap): $149,760 - $199,680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39.9)</w:t>
      </w:r>
    </w:p>
    <w:p>
      <w:pPr>
        <w:pStyle w:val="HSBody"/>
      </w:pPr>
      <w:r>
        <w:t>Social Vulnerability: Relatively Low (Score: 32.6)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84.3</w:t>
            </w:r>
          </w:p>
        </w:tc>
        <w:tc>
          <w:tcPr>
            <w:tcW w:type="dxa" w:w="2340"/>
            <w:shd w:fill="F2F2F2" w:val="clear"/>
          </w:tcPr>
          <w:p>
            <w:r>
              <w:t>Very High</w:t>
            </w:r>
          </w:p>
        </w:tc>
        <w:tc>
          <w:tcPr>
            <w:tcW w:type="dxa" w:w="2340"/>
            <w:shd w:fill="F2F2F2" w:val="clear"/>
          </w:tcPr>
          <w:p>
            <w:r>
              <w:t>$7,689,854</w:t>
            </w:r>
          </w:p>
        </w:tc>
      </w:tr>
      <w:tr>
        <w:tc>
          <w:tcPr>
            <w:tcW w:type="dxa" w:w="2340"/>
            <w:shd w:fill="FFFFFF" w:val="clear"/>
          </w:tcPr>
          <w:p>
            <w:r>
              <w:t>Earthquake</w:t>
            </w:r>
          </w:p>
        </w:tc>
        <w:tc>
          <w:tcPr>
            <w:tcW w:type="dxa" w:w="2340"/>
            <w:shd w:fill="FFFFFF" w:val="clear"/>
          </w:tcPr>
          <w:p>
            <w:r>
              <w:t>72.9</w:t>
            </w:r>
          </w:p>
        </w:tc>
        <w:tc>
          <w:tcPr>
            <w:tcW w:type="dxa" w:w="2340"/>
            <w:shd w:fill="FFFFFF" w:val="clear"/>
          </w:tcPr>
          <w:p>
            <w:r>
              <w:t>Relatively High</w:t>
            </w:r>
          </w:p>
        </w:tc>
        <w:tc>
          <w:tcPr>
            <w:tcW w:type="dxa" w:w="2340"/>
            <w:shd w:fill="FFFFFF" w:val="clear"/>
          </w:tcPr>
          <w:p>
            <w:r>
              <w:t>$26,846,889</w:t>
            </w:r>
          </w:p>
        </w:tc>
      </w:tr>
      <w:tr>
        <w:tc>
          <w:tcPr>
            <w:tcW w:type="dxa" w:w="2340"/>
            <w:shd w:fill="F2F2F2" w:val="clear"/>
          </w:tcPr>
          <w:p>
            <w:r>
              <w:t>Landslide</w:t>
            </w:r>
          </w:p>
        </w:tc>
        <w:tc>
          <w:tcPr>
            <w:tcW w:type="dxa" w:w="2340"/>
            <w:shd w:fill="F2F2F2" w:val="clear"/>
          </w:tcPr>
          <w:p>
            <w:r>
              <w:t>70.7</w:t>
            </w:r>
          </w:p>
        </w:tc>
        <w:tc>
          <w:tcPr>
            <w:tcW w:type="dxa" w:w="2340"/>
            <w:shd w:fill="F2F2F2" w:val="clear"/>
          </w:tcPr>
          <w:p>
            <w:r>
              <w:t>Relatively High</w:t>
            </w:r>
          </w:p>
        </w:tc>
        <w:tc>
          <w:tcPr>
            <w:tcW w:type="dxa" w:w="2340"/>
            <w:shd w:fill="F2F2F2" w:val="clear"/>
          </w:tcPr>
          <w:p>
            <w:r>
              <w:t>$77,534</w:t>
            </w:r>
          </w:p>
        </w:tc>
      </w:tr>
      <w:tr>
        <w:tc>
          <w:tcPr>
            <w:tcW w:type="dxa" w:w="2340"/>
            <w:shd w:fill="FFFFFF" w:val="clear"/>
          </w:tcPr>
          <w:p>
            <w:r>
              <w:t>Avalanche</w:t>
            </w:r>
          </w:p>
        </w:tc>
        <w:tc>
          <w:tcPr>
            <w:tcW w:type="dxa" w:w="2340"/>
            <w:shd w:fill="FFFFFF" w:val="clear"/>
          </w:tcPr>
          <w:p>
            <w:r>
              <w:t>70.3</w:t>
            </w:r>
          </w:p>
        </w:tc>
        <w:tc>
          <w:tcPr>
            <w:tcW w:type="dxa" w:w="2340"/>
            <w:shd w:fill="FFFFFF" w:val="clear"/>
          </w:tcPr>
          <w:p>
            <w:r>
              <w:t>Relatively High</w:t>
            </w:r>
          </w:p>
        </w:tc>
        <w:tc>
          <w:tcPr>
            <w:tcW w:type="dxa" w:w="2340"/>
            <w:shd w:fill="FFFFFF" w:val="clear"/>
          </w:tcPr>
          <w:p>
            <w:r>
              <w:t>$1,216,074</w:t>
            </w:r>
          </w:p>
        </w:tc>
      </w:tr>
      <w:tr>
        <w:tc>
          <w:tcPr>
            <w:tcW w:type="dxa" w:w="2340"/>
            <w:shd w:fill="F2F2F2" w:val="clear"/>
          </w:tcPr>
          <w:p>
            <w:r>
              <w:t>Winter Weather</w:t>
            </w:r>
          </w:p>
        </w:tc>
        <w:tc>
          <w:tcPr>
            <w:tcW w:type="dxa" w:w="2340"/>
            <w:shd w:fill="F2F2F2" w:val="clear"/>
          </w:tcPr>
          <w:p>
            <w:r>
              <w:t>68.3</w:t>
            </w:r>
          </w:p>
        </w:tc>
        <w:tc>
          <w:tcPr>
            <w:tcW w:type="dxa" w:w="2340"/>
            <w:shd w:fill="F2F2F2" w:val="clear"/>
          </w:tcPr>
          <w:p>
            <w:r>
              <w:t>Relatively High</w:t>
            </w:r>
          </w:p>
        </w:tc>
        <w:tc>
          <w:tcPr>
            <w:tcW w:type="dxa" w:w="2340"/>
            <w:shd w:fill="F2F2F2" w:val="clear"/>
          </w:tcPr>
          <w:p>
            <w:r>
              <w:t>$376,576</w:t>
            </w:r>
          </w:p>
        </w:tc>
      </w:tr>
    </w:tbl>
    <w:p>
      <w:pPr>
        <w:pStyle w:val="HSSection"/>
      </w:pPr>
      <w:r>
        <w:t>Hazard-to-Program Alignment</w:t>
      </w:r>
    </w:p>
    <w:p>
      <w:pPr>
        <w:pStyle w:val="HSBody"/>
      </w:pPr>
      <w:r>
        <w:t>Confederated Tribes of the Goshute Reservation, Nevada and Utah's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Goshute Reservation, Nevada and Utah.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Confederated Tribes of the Goshute Reservation, Nevada and Utah's advocacy engagements during the current congressional session.</w:t>
      </w:r>
    </w:p>
    <w:p>
      <w:pPr>
        <w:pStyle w:val="HSSection"/>
      </w:pPr>
      <w:r>
        <w:t>Core Message</w:t>
      </w:r>
    </w:p>
    <w:p>
      <w:pPr>
        <w:pStyle w:val="HSBody"/>
      </w:pPr>
      <w:r>
        <w:t>Confederated Tribes of the Goshute Reservation, Nevada and Utah faces significant wildfire risk. Congress has funded programs that address this risk, but administrative delivery gaps and structural barriers prevent these resources from reaching Tribal communities in NV, UT.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Goshute Reservation, Nevada and Utah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Goshute Reservation, Nevada and Utah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