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Pinoleville Pomo Nation,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Pinoleville Pomo Nation, California's climate risk profile and geographic context.</w:t>
      </w:r>
    </w:p>
    <w:p>
      <w:r>
        <w:br w:type="page"/>
      </w:r>
    </w:p>
    <w:p>
      <w:pPr>
        <w:pStyle w:val="Heading2"/>
      </w:pPr>
      <w:r>
        <w:t>Executive Summary</w:t>
      </w:r>
    </w:p>
    <w:p>
      <w:pPr>
        <w:pStyle w:val="HSTitle"/>
      </w:pPr>
      <w:r>
        <w:t>Pinoleville Pomo Nation, California -- CA</w:t>
      </w:r>
    </w:p>
    <w:p>
      <w:pPr>
        <w:pStyle w:val="HSBody"/>
      </w:pPr>
      <w:r>
        <w:t>This strategy document outlines Pinoleville Pomo Nation,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$4,484,973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Pinoleville Pomo Nation,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Pinoleville Pomo Nation,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Pinoleville Pomo Nation,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Pinoleville Pomo Nation,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Pinoleville Pomo Nation,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Pinoleville Pomo Nation,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Pinoleville Pomo Nation,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Pinoleville Pomo Nation,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Pinoleville Pomo Nation,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$4,075,588</w:t>
            </w:r>
          </w:p>
        </w:tc>
        <w:tc>
          <w:tcPr>
            <w:tcW w:type="dxa" w:w="2340"/>
            <w:shd w:fill="F2F2F2" w:val="clear"/>
          </w:tcPr>
          <w:p>
            <w:r>
              <w:t>2012-01-06 - 2035-09-30</w:t>
            </w:r>
          </w:p>
        </w:tc>
      </w:tr>
    </w:tbl>
    <w:p>
      <w:pPr>
        <w:pStyle w:val="HSBody"/>
      </w:pPr>
      <w:r>
        <w:rPr>
          <w:b/>
        </w:rPr>
        <w:t>Total: $4,075,588</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Pinoleville Pomo Nation, California generated an estimated $7,336,058-$9,781,411 in regional economic activity (BEA RIMS II methodology, output multiplier range 1.8-2.4x), supporting approximately 33-61 jobs (BLS employment requirements methodology).</w:t>
      </w:r>
    </w:p>
    <w:p>
      <w:pPr>
        <w:pStyle w:val="HSBody"/>
      </w:pPr>
      <w:r>
        <w:t>Hazard Alignment: Pinoleville Pomo Nation,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Pinoleville Pomo Nation, California's Wildfire, Earthquake and Landslide risk makes this program critical for community resilience</w:t>
      </w:r>
    </w:p>
    <w:p>
      <w:pPr>
        <w:pStyle w:val="HSCalloutDetail"/>
        <w:shd w:fill="EEF2FF" w:val="clear"/>
      </w:pPr>
      <w:r>
        <w:t>IMPACT: HUD IHBG funding to Pinoleville Pomo Nation, California generated an estimated $7,336,058-$9,781,411 in regional economic activity (BEA RIMS II methodology, output multiplier range 1.8-2.4x), supporting approximately 33-61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Pinoleville Pomo Nation,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Pinoleville Pomo Nation,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Pinoleville Pomo Nation, California's advocacy engagements during the current congressional session.</w:t>
      </w:r>
    </w:p>
    <w:p>
      <w:pPr>
        <w:pStyle w:val="HSSection"/>
      </w:pPr>
      <w:r>
        <w:t>Core Message</w:t>
      </w:r>
    </w:p>
    <w:p>
      <w:pPr>
        <w:pStyle w:val="HSBody"/>
      </w:pPr>
      <w:r>
        <w:t>Pinoleville Pomo Nation,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Pinoleville Pomo Nation,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Pinoleville Pomo Nation,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