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Quapaw Nation</w:t>
      </w:r>
    </w:p>
    <w:p>
      <w:pPr>
        <w:pStyle w:val="HSBody"/>
      </w:pPr>
      <w:r>
        <w:t>Prepared for the offices of: 2 Senators, 1 Representative</w:t>
      </w:r>
    </w:p>
    <w:p>
      <w:pPr>
        <w:pStyle w:val="HSBody"/>
      </w:pPr>
      <w:r>
        <w:t>State(s): KS, OK</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Quapaw Nation's climate risk profile and geographic context.</w:t>
      </w:r>
    </w:p>
    <w:p>
      <w:r>
        <w:br w:type="page"/>
      </w:r>
    </w:p>
    <w:p>
      <w:pPr>
        <w:pStyle w:val="Heading2"/>
      </w:pPr>
      <w:r>
        <w:t>Executive Summary</w:t>
      </w:r>
    </w:p>
    <w:p>
      <w:pPr>
        <w:pStyle w:val="HSTitle"/>
      </w:pPr>
      <w:r>
        <w:t>Quapaw Nation -- KS, OK</w:t>
      </w:r>
    </w:p>
    <w:p>
      <w:pPr>
        <w:pStyle w:val="HSBody"/>
      </w:pPr>
      <w:r>
        <w:t>This strategy document outlines Quapaw Nation's federal climate resilience funding landscape, identifies strategic leverage points across key programs, and recommends sequenced advocacy actions for the current congressional session.</w:t>
      </w:r>
    </w:p>
    <w:p>
      <w:pPr>
        <w:pStyle w:val="HSBody"/>
      </w:pPr>
      <w:r>
        <w:t>Top Climate Hazards: Hail, Drought, Ice Storm</w:t>
      </w:r>
    </w:p>
    <w:p>
      <w:pPr>
        <w:pStyle w:val="HSBody"/>
      </w:pPr>
      <w:r>
        <w:t>Total Federal Climate Resilience Funding: $13,719,393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Josh Brecheen (R-OK-02)</w:t>
            </w:r>
          </w:p>
        </w:tc>
        <w:tc>
          <w:tcPr>
            <w:tcW w:type="dxa" w:w="1872"/>
            <w:shd w:fill="F2F2F2" w:val="clear"/>
          </w:tcPr>
          <w:p>
            <w:r>
              <w:t>Representative</w:t>
            </w:r>
          </w:p>
        </w:tc>
        <w:tc>
          <w:tcPr>
            <w:tcW w:type="dxa" w:w="1872"/>
            <w:shd w:fill="F2F2F2" w:val="clear"/>
          </w:tcPr>
          <w:p>
            <w:r>
              <w:t>OK</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$573,187</w:t>
            </w:r>
          </w:p>
        </w:tc>
        <w:tc>
          <w:tcPr>
            <w:tcW w:type="dxa" w:w="2340"/>
            <w:shd w:fill="F2F2F2" w:val="clear"/>
          </w:tcPr>
          <w:p>
            <w:r>
              <w:t>2018-10-01 - None</w:t>
            </w:r>
          </w:p>
        </w:tc>
      </w:tr>
    </w:tbl>
    <w:p>
      <w:pPr>
        <w:pStyle w:val="HSBody"/>
      </w:pPr>
      <w:r>
        <w:rPr>
          <w:b/>
        </w:rPr>
        <w:t>Total: $573,187</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FEMA BRIC funding to Quapaw Nation generated an estimated $1,031,737-$1,375,649 in regional economic activity (BEA RIMS II methodology, output multiplier range 1.8-2.4x), supporting approximately 5-9 jobs (BLS employment requirements methodology).</w:t>
      </w:r>
    </w:p>
    <w:p>
      <w:pPr>
        <w:pStyle w:val="HSBody"/>
      </w:pPr>
      <w:r>
        <w:t>Hazard Alignment: Quapaw Nation's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Quapaw Nation's Hail, Drought and Ice Storm risk makes this program critical for community resilience</w:t>
      </w:r>
    </w:p>
    <w:p>
      <w:pPr>
        <w:pStyle w:val="HSCalloutDetail"/>
        <w:shd w:fill="EEF2FF" w:val="clear"/>
      </w:pPr>
      <w:r>
        <w:t>IMPACT: FEMA BRIC funding to Quapaw Nation generated an estimated $1,031,737-$1,375,649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$141,963</w:t>
            </w:r>
          </w:p>
        </w:tc>
        <w:tc>
          <w:tcPr>
            <w:tcW w:type="dxa" w:w="2340"/>
            <w:shd w:fill="F2F2F2" w:val="clear"/>
          </w:tcPr>
          <w:p>
            <w:r>
              <w:t>2018-10-01 - 2020-09-30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$119,665</w:t>
            </w:r>
          </w:p>
        </w:tc>
        <w:tc>
          <w:tcPr>
            <w:tcW w:type="dxa" w:w="2340"/>
            <w:shd w:fill="FFFFFF" w:val="clear"/>
          </w:tcPr>
          <w:p>
            <w:r>
              <w:t>2018-09-01 - 2020-09-30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$14,505</w:t>
            </w:r>
          </w:p>
        </w:tc>
        <w:tc>
          <w:tcPr>
            <w:tcW w:type="dxa" w:w="2340"/>
            <w:shd w:fill="F2F2F2" w:val="clear"/>
          </w:tcPr>
          <w:p>
            <w:r>
              <w:t>2018-08-28 - 2020-09-30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$14,298</w:t>
            </w:r>
          </w:p>
        </w:tc>
        <w:tc>
          <w:tcPr>
            <w:tcW w:type="dxa" w:w="2340"/>
            <w:shd w:fill="FFFFFF" w:val="clear"/>
          </w:tcPr>
          <w:p>
            <w:r>
              <w:t>2019-08-01 - 2021-12-31</w:t>
            </w:r>
          </w:p>
        </w:tc>
      </w:tr>
      <w:tr>
        <w:tc>
          <w:tcPr>
            <w:tcW w:type="dxa" w:w="2340"/>
            <w:shd w:fill="F2F2F2" w:val="clear"/>
          </w:tcPr>
          <w:p>
            <w:r>
              <w:t>bia_tcr</w:t>
            </w:r>
          </w:p>
        </w:tc>
        <w:tc>
          <w:tcPr>
            <w:tcW w:type="dxa" w:w="2340"/>
            <w:shd w:fill="F2F2F2" w:val="clear"/>
          </w:tcPr>
          <w:p>
            <w:r>
              <w:t>15.156</w:t>
            </w:r>
          </w:p>
        </w:tc>
        <w:tc>
          <w:tcPr>
            <w:tcW w:type="dxa" w:w="2340"/>
            <w:shd w:fill="F2F2F2" w:val="clear"/>
          </w:tcPr>
          <w:p>
            <w:r>
              <w:t>$12,072</w:t>
            </w:r>
          </w:p>
        </w:tc>
        <w:tc>
          <w:tcPr>
            <w:tcW w:type="dxa" w:w="2340"/>
            <w:shd w:fill="F2F2F2" w:val="clear"/>
          </w:tcPr>
          <w:p>
            <w:r>
              <w:t>2020-06-01 - 2023-05-31</w:t>
            </w:r>
          </w:p>
        </w:tc>
      </w:tr>
    </w:tbl>
    <w:p>
      <w:pPr>
        <w:pStyle w:val="HSBody"/>
      </w:pPr>
      <w:r>
        <w:rPr>
          <w:b/>
        </w:rPr>
        <w:t>Total: $302,503</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BIA Tribal Climate Resilience funding to Quapaw Nation generated an estimated $544,505-$726,007 in regional economic activity (BEA RIMS II methodology, output multiplier range 1.8-2.4x), supporting approximately 2-5 jobs (BLS employment requirements methodology).</w:t>
      </w:r>
    </w:p>
    <w:p>
      <w:pPr>
        <w:pStyle w:val="HSBody"/>
      </w:pPr>
      <w:r>
        <w:t>Hazard Alignment: Quapaw Nation's hail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Quapaw Nation's Hail, Drought and Ice Storm risk makes this program critical for community resilience</w:t>
      </w:r>
    </w:p>
    <w:p>
      <w:pPr>
        <w:pStyle w:val="HSCalloutDetail"/>
        <w:shd w:fill="EEF2FF" w:val="clear"/>
      </w:pPr>
      <w:r>
        <w:t>IMPACT: BIA Tribal Climate Resilience funding to Quapaw Nation generated an estimated $544,505-$726,007 in regional economic activity (BEA RIMS II methodology, output multiplier range 1.8-2.4x), supporting approximately 2-5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Quapaw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Quapaw Nation's hail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Quapaw Nation's Hail, Drought and Ice Storm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$573,187</w:t>
            </w:r>
          </w:p>
        </w:tc>
        <w:tc>
          <w:tcPr>
            <w:tcW w:type="dxa" w:w="2340"/>
            <w:shd w:fill="F2F2F2" w:val="clear"/>
          </w:tcPr>
          <w:p>
            <w:r>
              <w:t>2018-10-01 - None</w:t>
            </w:r>
          </w:p>
        </w:tc>
      </w:tr>
    </w:tbl>
    <w:p>
      <w:pPr>
        <w:pStyle w:val="HSBody"/>
      </w:pPr>
      <w:r>
        <w:rPr>
          <w:b/>
        </w:rPr>
        <w:t>Total: $573,187</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Quapaw Nation's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Quapaw Nation's Hail, Drought and Ice Storm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$4,784,171</w:t>
            </w:r>
          </w:p>
        </w:tc>
        <w:tc>
          <w:tcPr>
            <w:tcW w:type="dxa" w:w="2340"/>
            <w:shd w:fill="F2F2F2" w:val="clear"/>
          </w:tcPr>
          <w:p>
            <w:r>
              <w:t>2011-10-18 - 2034-09-30</w:t>
            </w:r>
          </w:p>
        </w:tc>
      </w:tr>
    </w:tbl>
    <w:p>
      <w:pPr>
        <w:pStyle w:val="HSBody"/>
      </w:pPr>
      <w:r>
        <w:rPr>
          <w:b/>
        </w:rPr>
        <w:t>Total: $4,784,171</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HUD IHBG funding to Quapaw Nation generated an estimated $8,611,508-$11,482,010 in regional economic activity (BEA RIMS II methodology, output multiplier range 1.8-2.4x), supporting approximately 38-72 jobs (BLS employment requirements methodology).</w:t>
      </w:r>
    </w:p>
    <w:p>
      <w:pPr>
        <w:pStyle w:val="HSBody"/>
      </w:pPr>
      <w:r>
        <w:t>Hazard Alignment: Quapaw Nation's hail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Quapaw Nation's Hail, Drought and Ice Storm risk makes this program critical for community resilience</w:t>
      </w:r>
    </w:p>
    <w:p>
      <w:pPr>
        <w:pStyle w:val="HSCalloutDetail"/>
        <w:shd w:fill="EEF2FF" w:val="clear"/>
      </w:pPr>
      <w:r>
        <w:t>IMPACT: HUD IHBG funding to Quapaw Nation generated an estimated $8,611,508-$11,482,010 in regional economic activity (BEA RIMS II methodology, output multiplier range 1.8-2.4x), supporting approximately 38-72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Quapaw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Quapaw Nation's hail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Quapaw Nation's Hail, Drought and Ice Storm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Quapaw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Quapaw Nation's hail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Quapaw Nation's Hail, Drought and Ice Storm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Quapaw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Quapaw Nation's hail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Quapaw Nation's Hail, Drought and Ice Storm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Quapaw Nation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Quapaw Nation's hail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Quapaw Nation's Hail, Drought and Ice Storm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Quapaw Nation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Quapaw Nation's hail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Quapaw Nation's Hail, Drought and Ice Storm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Quapaw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Quapaw Nation's Hail, Drought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Quapaw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Quapaw Nation's Hail, Drought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40.7)</w:t>
      </w:r>
    </w:p>
    <w:p>
      <w:pPr>
        <w:pStyle w:val="HSBody"/>
      </w:pPr>
      <w:r>
        <w:t>Social Vulnerability: Relatively Moderate (Score: 47.8)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74.3</w:t>
            </w:r>
          </w:p>
        </w:tc>
        <w:tc>
          <w:tcPr>
            <w:tcW w:type="dxa" w:w="2340"/>
            <w:shd w:fill="F2F2F2" w:val="clear"/>
          </w:tcPr>
          <w:p>
            <w:r>
              <w:t>Relatively High</w:t>
            </w:r>
          </w:p>
        </w:tc>
        <w:tc>
          <w:tcPr>
            <w:tcW w:type="dxa" w:w="2340"/>
            <w:shd w:fill="F2F2F2" w:val="clear"/>
          </w:tcPr>
          <w:p>
            <w:r>
              <w:t>$1,476,732</w:t>
            </w:r>
          </w:p>
        </w:tc>
      </w:tr>
      <w:tr>
        <w:tc>
          <w:tcPr>
            <w:tcW w:type="dxa" w:w="2340"/>
            <w:shd w:fill="FFFFFF" w:val="clear"/>
          </w:tcPr>
          <w:p>
            <w:r>
              <w:t>Drought</w:t>
            </w:r>
          </w:p>
        </w:tc>
        <w:tc>
          <w:tcPr>
            <w:tcW w:type="dxa" w:w="2340"/>
            <w:shd w:fill="FFFFFF" w:val="clear"/>
          </w:tcPr>
          <w:p>
            <w:r>
              <w:t>72.5</w:t>
            </w:r>
          </w:p>
        </w:tc>
        <w:tc>
          <w:tcPr>
            <w:tcW w:type="dxa" w:w="2340"/>
            <w:shd w:fill="FFFFFF" w:val="clear"/>
          </w:tcPr>
          <w:p>
            <w:r>
              <w:t>Relatively High</w:t>
            </w:r>
          </w:p>
        </w:tc>
        <w:tc>
          <w:tcPr>
            <w:tcW w:type="dxa" w:w="2340"/>
            <w:shd w:fill="FFFFFF" w:val="clear"/>
          </w:tcPr>
          <w:p>
            <w:r>
              <w:t>$1,087,023</w:t>
            </w:r>
          </w:p>
        </w:tc>
      </w:tr>
      <w:tr>
        <w:tc>
          <w:tcPr>
            <w:tcW w:type="dxa" w:w="2340"/>
            <w:shd w:fill="F2F2F2" w:val="clear"/>
          </w:tcPr>
          <w:p>
            <w:r>
              <w:t>Ice Storm</w:t>
            </w:r>
          </w:p>
        </w:tc>
        <w:tc>
          <w:tcPr>
            <w:tcW w:type="dxa" w:w="2340"/>
            <w:shd w:fill="F2F2F2" w:val="clear"/>
          </w:tcPr>
          <w:p>
            <w:r>
              <w:t>72.4</w:t>
            </w:r>
          </w:p>
        </w:tc>
        <w:tc>
          <w:tcPr>
            <w:tcW w:type="dxa" w:w="2340"/>
            <w:shd w:fill="F2F2F2" w:val="clear"/>
          </w:tcPr>
          <w:p>
            <w:r>
              <w:t>Relatively High</w:t>
            </w:r>
          </w:p>
        </w:tc>
        <w:tc>
          <w:tcPr>
            <w:tcW w:type="dxa" w:w="2340"/>
            <w:shd w:fill="F2F2F2" w:val="clear"/>
          </w:tcPr>
          <w:p>
            <w:r>
              <w:t>$860,722</w:t>
            </w:r>
          </w:p>
        </w:tc>
      </w:tr>
      <w:tr>
        <w:tc>
          <w:tcPr>
            <w:tcW w:type="dxa" w:w="2340"/>
            <w:shd w:fill="FFFFFF" w:val="clear"/>
          </w:tcPr>
          <w:p>
            <w:r>
              <w:t>Wildfire</w:t>
            </w:r>
          </w:p>
        </w:tc>
        <w:tc>
          <w:tcPr>
            <w:tcW w:type="dxa" w:w="2340"/>
            <w:shd w:fill="FFFFFF" w:val="clear"/>
          </w:tcPr>
          <w:p>
            <w:r>
              <w:t>68.9</w:t>
            </w:r>
          </w:p>
        </w:tc>
        <w:tc>
          <w:tcPr>
            <w:tcW w:type="dxa" w:w="2340"/>
            <w:shd w:fill="FFFFFF" w:val="clear"/>
          </w:tcPr>
          <w:p>
            <w:r>
              <w:t>Relatively High</w:t>
            </w:r>
          </w:p>
        </w:tc>
        <w:tc>
          <w:tcPr>
            <w:tcW w:type="dxa" w:w="2340"/>
            <w:shd w:fill="FFFFFF" w:val="clear"/>
          </w:tcPr>
          <w:p>
            <w:r>
              <w:t>$603,945</w:t>
            </w:r>
          </w:p>
        </w:tc>
      </w:tr>
      <w:tr>
        <w:tc>
          <w:tcPr>
            <w:tcW w:type="dxa" w:w="2340"/>
            <w:shd w:fill="F2F2F2" w:val="clear"/>
          </w:tcPr>
          <w:p>
            <w:r>
              <w:t>Tornado</w:t>
            </w:r>
          </w:p>
        </w:tc>
        <w:tc>
          <w:tcPr>
            <w:tcW w:type="dxa" w:w="2340"/>
            <w:shd w:fill="F2F2F2" w:val="clear"/>
          </w:tcPr>
          <w:p>
            <w:r>
              <w:t>59.1</w:t>
            </w:r>
          </w:p>
        </w:tc>
        <w:tc>
          <w:tcPr>
            <w:tcW w:type="dxa" w:w="2340"/>
            <w:shd w:fill="F2F2F2" w:val="clear"/>
          </w:tcPr>
          <w:p>
            <w:r>
              <w:t>Relatively Moderate</w:t>
            </w:r>
          </w:p>
        </w:tc>
        <w:tc>
          <w:tcPr>
            <w:tcW w:type="dxa" w:w="2340"/>
            <w:shd w:fill="F2F2F2" w:val="clear"/>
          </w:tcPr>
          <w:p>
            <w:r>
              <w:t>$3,912,190</w:t>
            </w:r>
          </w:p>
        </w:tc>
      </w:tr>
    </w:tbl>
    <w:p>
      <w:pPr>
        <w:pStyle w:val="HSSection"/>
      </w:pPr>
      <w:r>
        <w:t>Hazard-to-Program Alignment</w:t>
      </w:r>
    </w:p>
    <w:p>
      <w:pPr>
        <w:pStyle w:val="HSBody"/>
      </w:pPr>
      <w:r>
        <w:t>Quapaw Nation's top hazard exposures (Hail, Drought, Ice Storm)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Quapaw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Hail risk profile</w:t>
      </w:r>
    </w:p>
    <w:p>
      <w:r>
        <w:br w:type="page"/>
      </w:r>
    </w:p>
    <w:p>
      <w:pPr>
        <w:pStyle w:val="Heading2"/>
      </w:pPr>
      <w:r>
        <w:t>Messaging Framework</w:t>
      </w:r>
    </w:p>
    <w:p>
      <w:pPr>
        <w:pStyle w:val="HSBody"/>
      </w:pPr>
      <w:r>
        <w:t>Audience-calibrated talking points for Quapaw Nation's advocacy engagements during the current congressional session.</w:t>
      </w:r>
    </w:p>
    <w:p>
      <w:pPr>
        <w:pStyle w:val="HSSection"/>
      </w:pPr>
      <w:r>
        <w:t>Core Message</w:t>
      </w:r>
    </w:p>
    <w:p>
      <w:pPr>
        <w:pStyle w:val="HSBody"/>
      </w:pPr>
      <w:r>
        <w:t>Quapaw Nation faces significant hail risk. Congress has funded programs that address this risk, but administrative delivery gaps and structural barriers prevent these resources from reaching Tribal communities in KS,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Quapaw Nation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Quapaw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