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Reno-Sparks Indian Colony,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Reno-Sparks Indian Colony, Nevada's climate risk profile and geographic context.</w:t>
      </w:r>
    </w:p>
    <w:p>
      <w:r>
        <w:br w:type="page"/>
      </w:r>
    </w:p>
    <w:p>
      <w:pPr>
        <w:pStyle w:val="Heading2"/>
      </w:pPr>
      <w:r>
        <w:t>Executive Summary</w:t>
      </w:r>
    </w:p>
    <w:p>
      <w:pPr>
        <w:pStyle w:val="HSTitle"/>
      </w:pPr>
      <w:r>
        <w:t>Reno-Sparks Indian Colony, Nevada -- NV</w:t>
      </w:r>
    </w:p>
    <w:p>
      <w:pPr>
        <w:pStyle w:val="HSBody"/>
      </w:pPr>
      <w:r>
        <w:t>This strategy document outlines Reno-Sparks Indian Colony,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$27,232,238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Reno-Sparks Indian Colony,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Reno-Sparks Indian Colony,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Reno-Sparks Indian Colony,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Reno-Sparks Indian Colony,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Reno-Sparks Indian Colony,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$125,885</w:t>
            </w:r>
          </w:p>
        </w:tc>
        <w:tc>
          <w:tcPr>
            <w:tcW w:type="dxa" w:w="2340"/>
            <w:shd w:fill="F2F2F2" w:val="clear"/>
          </w:tcPr>
          <w:p>
            <w:r>
              <w:t>2021-09-01 - 2023-08-31</w:t>
            </w:r>
          </w:p>
        </w:tc>
      </w:tr>
    </w:tbl>
    <w:p>
      <w:pPr>
        <w:pStyle w:val="HSBody"/>
      </w:pPr>
      <w:r>
        <w:rPr>
          <w:b/>
        </w:rPr>
        <w:t>Total: $125,885</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Reno-Sparks Indian Colony, Nevada generated an estimated $226,593-$302,124 in regional economic activity (BEA RIMS II methodology, output multiplier range 1.8-2.4x), supporting approximately 1-2 jobs (BLS employment requirements methodology).</w:t>
      </w:r>
    </w:p>
    <w:p>
      <w:pPr>
        <w:pStyle w:val="HSBody"/>
      </w:pPr>
      <w:r>
        <w:t>Hazard Alignment: Reno-Sparks Indian Colony,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EPA GAP funding to Reno-Sparks Indian Colony, Nevada generated an estimated $226,593-$302,124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Reno-Sparks Indian Colony,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$26,297,279</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$860,058</w:t>
            </w:r>
          </w:p>
        </w:tc>
        <w:tc>
          <w:tcPr>
            <w:tcW w:type="dxa" w:w="2340"/>
            <w:shd w:fill="FFFFFF" w:val="clear"/>
          </w:tcPr>
          <w:p>
            <w:r>
              <w:t>2021-04-22 - 2026-09-30</w:t>
            </w:r>
          </w:p>
        </w:tc>
      </w:tr>
    </w:tbl>
    <w:p>
      <w:pPr>
        <w:pStyle w:val="HSBody"/>
      </w:pPr>
      <w:r>
        <w:rPr>
          <w:b/>
        </w:rPr>
        <w:t>Total: $27,157,337</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Reno-Sparks Indian Colony, Nevada generated an estimated $48,883,207-$65,177,609 in regional economic activity (BEA RIMS II methodology, output multiplier range 1.8-2.4x), supporting approximately 217-407 jobs (BLS employment requirements methodology).</w:t>
      </w:r>
    </w:p>
    <w:p>
      <w:pPr>
        <w:pStyle w:val="HSBody"/>
      </w:pPr>
      <w:r>
        <w:t>Hazard Alignment: Reno-Sparks Indian Colony,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HUD IHBG funding to Reno-Sparks Indian Colony, Nevada generated an estimated $48,883,207-$65,177,609 in regional economic activity (BEA RIMS II methodology, output multiplier range 1.8-2.4x), supporting approximately 217-407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Reno-Sparks Indian Colony,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Reno-Sparks Indian Colony,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Reno-Sparks Indian Colony,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Reno-Sparks Indian Colony,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Reno-Sparks Indian Colony,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Reno-Sparks Indian Colony,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Reno-Sparks Indian Colony,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Reno-Sparks Indian Colony,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Reno-Sparks Indian Colony, Nevada's advocacy engagements during the current congressional session.</w:t>
      </w:r>
    </w:p>
    <w:p>
      <w:pPr>
        <w:pStyle w:val="HSSection"/>
      </w:pPr>
      <w:r>
        <w:t>Core Message</w:t>
      </w:r>
    </w:p>
    <w:p>
      <w:pPr>
        <w:pStyle w:val="HSBody"/>
      </w:pPr>
      <w:r>
        <w:t>Reno-Sparks Indian Colony,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Reno-Sparks Indian Colony,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Reno-Sparks Indian Colony,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