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Saint Regis Mohawk Tribe</w:t>
      </w:r>
    </w:p>
    <w:p>
      <w:pPr>
        <w:pStyle w:val="HSBody"/>
      </w:pPr>
      <w:r>
        <w:t>Prepared for the offices of: 2 Senators, 1 Representative</w:t>
      </w:r>
    </w:p>
    <w:p>
      <w:pPr>
        <w:pStyle w:val="HSBody"/>
      </w:pPr>
      <w:r>
        <w:t>State(s): NY</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DOT PROTECT</w:t>
      </w:r>
      <w:r>
        <w:t xml:space="preserve">  </w:t>
      </w:r>
      <w:r>
        <w:rPr>
          <w:color w:val="4B5563"/>
          <w:sz w:val="16"/>
        </w:rPr>
        <w:t>[Secure]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Saint Regis Mohawk Tribe's climate risk profile and geographic context.</w:t>
      </w:r>
    </w:p>
    <w:p>
      <w:r>
        <w:br w:type="page"/>
      </w:r>
    </w:p>
    <w:p>
      <w:pPr>
        <w:pStyle w:val="Heading2"/>
      </w:pPr>
      <w:r>
        <w:t>Executive Summary</w:t>
      </w:r>
    </w:p>
    <w:p>
      <w:pPr>
        <w:pStyle w:val="HSTitle"/>
      </w:pPr>
      <w:r>
        <w:t>Saint Regis Mohawk Tribe -- NY</w:t>
      </w:r>
    </w:p>
    <w:p>
      <w:pPr>
        <w:pStyle w:val="HSBody"/>
      </w:pPr>
      <w:r>
        <w:t>This strategy document outlines Saint Regis Mohawk Tribe's federal climate resilience funding landscape, identifies strategic leverage points across key programs, and recommends sequenced advocacy actions for the current congressional session.</w:t>
      </w:r>
    </w:p>
    <w:p>
      <w:pPr>
        <w:pStyle w:val="HSBody"/>
      </w:pPr>
      <w:r>
        <w:t>Top Climate Hazards: Inland Flooding, Hurricane, Ice Storm</w:t>
      </w:r>
    </w:p>
    <w:p>
      <w:pPr>
        <w:pStyle w:val="HSBody"/>
      </w:pPr>
      <w:r>
        <w:t>Total Federal Climate Resilience Funding: $780,398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Charles E. Schumer (D-NY)</w:t>
            </w:r>
          </w:p>
        </w:tc>
        <w:tc>
          <w:tcPr>
            <w:tcW w:type="dxa" w:w="1872"/>
            <w:shd w:fill="F2F2F2" w:val="clear"/>
          </w:tcPr>
          <w:p>
            <w:r>
              <w:t>Senator</w:t>
            </w:r>
          </w:p>
        </w:tc>
        <w:tc>
          <w:tcPr>
            <w:tcW w:type="dxa" w:w="1872"/>
            <w:shd w:fill="F2F2F2" w:val="clear"/>
          </w:tcPr>
          <w:p>
            <w:r>
              <w:t>NY</w:t>
            </w:r>
          </w:p>
        </w:tc>
        <w:tc>
          <w:tcPr>
            <w:tcW w:type="dxa" w:w="1872"/>
            <w:shd w:fill="F2F2F2" w:val="clear"/>
          </w:tcPr>
          <w:p>
            <w:r>
              <w:t>At-Large</w:t>
            </w:r>
          </w:p>
        </w:tc>
        <w:tc>
          <w:tcPr>
            <w:tcW w:type="dxa" w:w="1872"/>
            <w:shd w:fill="F2F2F2" w:val="clear"/>
          </w:tcPr>
          <w:p>
            <w:r/>
          </w:p>
        </w:tc>
      </w:tr>
      <w:tr>
        <w:tc>
          <w:tcPr>
            <w:tcW w:type="dxa" w:w="1872"/>
            <w:shd w:fill="FFFFFF" w:val="clear"/>
          </w:tcPr>
          <w:p>
            <w:r>
              <w:t>Sen. Kirsten E. Gillibrand (D-NY)</w:t>
            </w:r>
          </w:p>
        </w:tc>
        <w:tc>
          <w:tcPr>
            <w:tcW w:type="dxa" w:w="1872"/>
            <w:shd w:fill="FFFFFF" w:val="clear"/>
          </w:tcPr>
          <w:p>
            <w:r>
              <w:t>Senator</w:t>
            </w:r>
          </w:p>
        </w:tc>
        <w:tc>
          <w:tcPr>
            <w:tcW w:type="dxa" w:w="1872"/>
            <w:shd w:fill="FFFFFF" w:val="clear"/>
          </w:tcPr>
          <w:p>
            <w:r>
              <w:t>NY</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Transportation, Housing and Urban Development, and Related Agencies</w:t>
            </w:r>
          </w:p>
        </w:tc>
      </w:tr>
      <w:tr>
        <w:tc>
          <w:tcPr>
            <w:tcW w:type="dxa" w:w="1872"/>
            <w:shd w:fill="F2F2F2" w:val="clear"/>
          </w:tcPr>
          <w:p>
            <w:r>
              <w:t>Rep. Elise M. Stefanik (R-NY-21)</w:t>
            </w:r>
          </w:p>
        </w:tc>
        <w:tc>
          <w:tcPr>
            <w:tcW w:type="dxa" w:w="1872"/>
            <w:shd w:fill="F2F2F2" w:val="clear"/>
          </w:tcPr>
          <w:p>
            <w:r>
              <w:t>Representative</w:t>
            </w:r>
          </w:p>
        </w:tc>
        <w:tc>
          <w:tcPr>
            <w:tcW w:type="dxa" w:w="1872"/>
            <w:shd w:fill="F2F2F2" w:val="clear"/>
          </w:tcPr>
          <w:p>
            <w:r>
              <w:t>NY</w:t>
            </w:r>
          </w:p>
        </w:tc>
        <w:tc>
          <w:tcPr>
            <w:tcW w:type="dxa" w:w="1872"/>
            <w:shd w:fill="F2F2F2" w:val="clear"/>
          </w:tcPr>
          <w:p>
            <w:r>
              <w:t>21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Kirsten E. Gillibrand (D-NY): Sits on Senate Committee on Appropriations; Agriculture, Rural Development, Food and Drug Administration, and Related Agencies; Commerce, Justice, Science, and Related Agencies; Department of Interior, Environment, and Related Agencies;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$187,403</w:t>
            </w:r>
          </w:p>
        </w:tc>
        <w:tc>
          <w:tcPr>
            <w:tcW w:type="dxa" w:w="2340"/>
            <w:shd w:fill="F2F2F2" w:val="clear"/>
          </w:tcPr>
          <w:p>
            <w:r>
              <w:t>2022-09-01 - 2025-08-31</w:t>
            </w:r>
          </w:p>
        </w:tc>
      </w:tr>
      <w:tr>
        <w:tc>
          <w:tcPr>
            <w:tcW w:type="dxa" w:w="2340"/>
            <w:shd w:fill="FFFFFF" w:val="clear"/>
          </w:tcPr>
          <w:p>
            <w:r>
              <w:t>fema_bric</w:t>
            </w:r>
          </w:p>
        </w:tc>
        <w:tc>
          <w:tcPr>
            <w:tcW w:type="dxa" w:w="2340"/>
            <w:shd w:fill="FFFFFF" w:val="clear"/>
          </w:tcPr>
          <w:p>
            <w:r>
              <w:t>97.047</w:t>
            </w:r>
          </w:p>
        </w:tc>
        <w:tc>
          <w:tcPr>
            <w:tcW w:type="dxa" w:w="2340"/>
            <w:shd w:fill="FFFFFF" w:val="clear"/>
          </w:tcPr>
          <w:p>
            <w:r>
              <w:t>$21,238</w:t>
            </w:r>
          </w:p>
        </w:tc>
        <w:tc>
          <w:tcPr>
            <w:tcW w:type="dxa" w:w="2340"/>
            <w:shd w:fill="FFFFFF" w:val="clear"/>
          </w:tcPr>
          <w:p>
            <w:r>
              <w:t>2022-09-01 - 2025-08-31</w:t>
            </w:r>
          </w:p>
        </w:tc>
      </w:tr>
    </w:tbl>
    <w:p>
      <w:pPr>
        <w:pStyle w:val="HSBody"/>
      </w:pPr>
      <w:r>
        <w:rPr>
          <w:b/>
        </w:rPr>
        <w:t>Total: $208,641</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FEMA BRIC funding to Saint Regis Mohawk Tribe generated an estimated $375,554-$500,738 in regional economic activity (BEA RIMS II methodology, output multiplier range 1.8-2.4x), supporting approximately 2-3 jobs (BLS employment requirements methodology).</w:t>
      </w:r>
    </w:p>
    <w:p>
      <w:pPr>
        <w:pStyle w:val="HSBody"/>
      </w:pPr>
      <w:r>
        <w:t>Hazard Alignment: Saint Regis Mohawk Tribe's inland flooding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FEMA BRIC funding to Saint Regis Mohawk Tribe generated an estimated $375,554-$500,738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2018-09-01 - 2023-09-30</w:t>
            </w:r>
          </w:p>
        </w:tc>
      </w:tr>
    </w:tbl>
    <w:p>
      <w:pPr>
        <w:pStyle w:val="HSBody"/>
      </w:pPr>
      <w:r>
        <w:rPr>
          <w:b/>
        </w:rPr>
        <w:t>Total: $150,000</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BIA Tribal Climate Resilience funding to Saint Regis Mohawk Tribe generated an estimated $270,000-$360,000 in regional economic activity (BEA RIMS II methodology, output multiplier range 1.8-2.4x), supporting approximately 1-2 jobs (BLS employment requirements methodology).</w:t>
      </w:r>
    </w:p>
    <w:p>
      <w:pPr>
        <w:pStyle w:val="HSBody"/>
      </w:pPr>
      <w:r>
        <w:t>Hazard Alignment: Saint Regis Mohawk Tribe's inland flooding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BIA Tribal Climate Resilience funding to Saint Regis Mohawk Tribe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Inland Flooding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Inland Flooding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Inland Flooding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Saint Regis Mohawk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Saint Regis Mohawk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Saint Regis Mohawk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Inland Flooding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Inland Flooding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$187,403</w:t>
            </w:r>
          </w:p>
        </w:tc>
        <w:tc>
          <w:tcPr>
            <w:tcW w:type="dxa" w:w="2340"/>
            <w:shd w:fill="F2F2F2" w:val="clear"/>
          </w:tcPr>
          <w:p>
            <w:r>
              <w:t>2022-09-01 - 2025-08-31</w:t>
            </w:r>
          </w:p>
        </w:tc>
      </w:tr>
      <w:tr>
        <w:tc>
          <w:tcPr>
            <w:tcW w:type="dxa" w:w="2340"/>
            <w:shd w:fill="FFFFFF" w:val="clear"/>
          </w:tcPr>
          <w:p>
            <w:r>
              <w:t>fema_bric</w:t>
            </w:r>
          </w:p>
        </w:tc>
        <w:tc>
          <w:tcPr>
            <w:tcW w:type="dxa" w:w="2340"/>
            <w:shd w:fill="FFFFFF" w:val="clear"/>
          </w:tcPr>
          <w:p>
            <w:r>
              <w:t>97.047</w:t>
            </w:r>
          </w:p>
        </w:tc>
        <w:tc>
          <w:tcPr>
            <w:tcW w:type="dxa" w:w="2340"/>
            <w:shd w:fill="FFFFFF" w:val="clear"/>
          </w:tcPr>
          <w:p>
            <w:r>
              <w:t>$21,238</w:t>
            </w:r>
          </w:p>
        </w:tc>
        <w:tc>
          <w:tcPr>
            <w:tcW w:type="dxa" w:w="2340"/>
            <w:shd w:fill="FFFFFF" w:val="clear"/>
          </w:tcPr>
          <w:p>
            <w:r>
              <w:t>2022-09-01 - 2025-08-31</w:t>
            </w:r>
          </w:p>
        </w:tc>
      </w:tr>
    </w:tbl>
    <w:p>
      <w:pPr>
        <w:pStyle w:val="HSBody"/>
      </w:pPr>
      <w:r>
        <w:rPr>
          <w:b/>
        </w:rPr>
        <w:t>Total: $208,641</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Inland Flooding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Saint Regis Mohawk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Saint Regis Mohawk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Inland Flooding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Saint Regis Mohawk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Saint Regis Mohawk Tribe's inland flooding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Inland Flooding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Saint Regis Mohawk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Saint Regis Mohawk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$421,757</w:t>
            </w:r>
          </w:p>
        </w:tc>
        <w:tc>
          <w:tcPr>
            <w:tcW w:type="dxa" w:w="2340"/>
            <w:shd w:fill="F2F2F2" w:val="clear"/>
          </w:tcPr>
          <w:p>
            <w:r>
              <w:t>2018-10-01 - 2025-09-30</w:t>
            </w:r>
          </w:p>
        </w:tc>
      </w:tr>
    </w:tbl>
    <w:p>
      <w:pPr>
        <w:pStyle w:val="HSBody"/>
      </w:pPr>
      <w:r>
        <w:rPr>
          <w:b/>
        </w:rPr>
        <w:t>Total: $421,757</w:t>
      </w:r>
    </w:p>
    <w:p>
      <w:pPr>
        <w:pStyle w:val="HSSection"/>
      </w:pPr>
      <w:r>
        <w:t>Local Hazard Relevance</w:t>
      </w:r>
    </w:p>
    <w:p>
      <w:pPr>
        <w:pStyle w:val="HSBody"/>
      </w:pPr>
      <w:r>
        <w:t>Inland Flooding -- Risk Score: 80.9 -- (Very High)</w:t>
      </w:r>
    </w:p>
    <w:p>
      <w:pPr>
        <w:pStyle w:val="HSBody"/>
      </w:pPr>
      <w:r>
        <w:t>Hurricane -- Risk Score: 71.1 -- (Relatively High)</w:t>
      </w:r>
    </w:p>
    <w:p>
      <w:pPr>
        <w:pStyle w:val="HSBody"/>
      </w:pPr>
      <w:r>
        <w:t>Ice Storm -- Risk Score: 69.8 -- (Relatively High)</w:t>
      </w:r>
    </w:p>
    <w:p>
      <w:pPr>
        <w:pStyle w:val="HSSection"/>
      </w:pPr>
      <w:r>
        <w:t>District Economic Impact</w:t>
      </w:r>
    </w:p>
    <w:p>
      <w:pPr>
        <w:pStyle w:val="HSBody"/>
      </w:pPr>
      <w:r>
        <w:t>EPA STAG funding to Saint Regis Mohawk Tribe generated an estimated $759,163-$1,012,217 in regional economic activity (BEA RIMS II methodology, output multiplier range 1.8-2.4x), supporting approximately 3-6 jobs (BLS employment requirements methodology).</w:t>
      </w:r>
    </w:p>
    <w:p>
      <w:pPr>
        <w:pStyle w:val="HSBody"/>
      </w:pPr>
      <w:r>
        <w:t>Hazard Alignment: Saint Regis Mohawk Tribe's inland flooding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Saint Regis Mohawk Tribe's Inland Flooding, Hurricane and Ice Storm risk makes this program critical for community resilience</w:t>
      </w:r>
    </w:p>
    <w:p>
      <w:pPr>
        <w:pStyle w:val="HSCalloutDetail"/>
        <w:shd w:fill="EEF2FF" w:val="clear"/>
      </w:pPr>
      <w:r>
        <w:t>IMPACT: EPA STAG funding to Saint Regis Mohawk Tribe generated an estimated $759,163-$1,012,217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Inland Flooding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Inland Flooding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Inland Flooding risk profile</w:t>
      </w:r>
    </w:p>
    <w:p>
      <w:pPr>
        <w:pStyle w:val="HSSection"/>
      </w:pPr>
      <w:r>
        <w:t>Your Delegation</w:t>
      </w:r>
    </w:p>
    <w:p>
      <w:pPr>
        <w:pStyle w:val="HSBody"/>
      </w:pPr>
      <w:r>
        <w:t>Sen. Charles E. Schumer (D-NY)</w:t>
      </w:r>
    </w:p>
    <w:p>
      <w:pPr>
        <w:pStyle w:val="HSBody"/>
      </w:pPr>
      <w:r>
        <w:t>Sen. Kirsten E. Gillibrand (D-NY)</w:t>
      </w:r>
    </w:p>
    <w:p>
      <w:pPr>
        <w:pStyle w:val="HSBody"/>
      </w:pPr>
      <w:r>
        <w:rPr>
          <w:b/>
        </w:rPr>
        <w:t>Sen. Kirsten E. Gillibrand (D-NY) sits on Senate Committee on Appropriations -- direct influence on this program</w:t>
      </w:r>
    </w:p>
    <w:p>
      <w:pPr>
        <w:pStyle w:val="HSBody"/>
      </w:pPr>
      <w:r>
        <w:rPr>
          <w:b/>
        </w:rPr>
        <w:t>Sen. Kirsten E. Gillibrand (D-NY) sits on Agriculture, Rural Development, Food and Drug Administration, and Related Agencies -- direct influence on this program</w:t>
      </w:r>
    </w:p>
    <w:p>
      <w:pPr>
        <w:pStyle w:val="HSBody"/>
      </w:pPr>
      <w:r>
        <w:rPr>
          <w:b/>
        </w:rPr>
        <w:t>Sen. Kirsten E. Gillibrand (D-NY) sits on Commerce, Justice, Science, and Related Agencies -- direct influence on this program</w:t>
      </w:r>
    </w:p>
    <w:p>
      <w:pPr>
        <w:pStyle w:val="HSBody"/>
      </w:pPr>
      <w:r>
        <w:rPr>
          <w:b/>
        </w:rPr>
        <w:t>Sen. Kirsten E. Gillibrand (D-NY) sits on Department of Interior, Environment, and Related Agencies -- direct influence on this program</w:t>
      </w:r>
    </w:p>
    <w:p>
      <w:pPr>
        <w:pStyle w:val="HSBody"/>
      </w:pPr>
      <w:r>
        <w:rPr>
          <w:b/>
        </w:rPr>
        <w:t>Sen. Kirsten E. Gillibrand (D-NY) sits on Transportation, Housing and Urban Development, and Related Agencies -- direct influence on this program</w:t>
      </w:r>
    </w:p>
    <w:p>
      <w:pPr>
        <w:pStyle w:val="HSBody"/>
      </w:pPr>
      <w:r>
        <w:t>Rep. Elise M. Stefanik (R-NY-21)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69.4)</w:t>
      </w:r>
    </w:p>
    <w:p>
      <w:pPr>
        <w:pStyle w:val="HSBody"/>
      </w:pPr>
      <w:r>
        <w:t>Social Vulnerability: Relatively Moderate (Score: 47.5)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Inland Flooding</w:t>
            </w:r>
          </w:p>
        </w:tc>
        <w:tc>
          <w:tcPr>
            <w:tcW w:type="dxa" w:w="2340"/>
            <w:shd w:fill="F2F2F2" w:val="clear"/>
          </w:tcPr>
          <w:p>
            <w:r>
              <w:t>80.9</w:t>
            </w:r>
          </w:p>
        </w:tc>
        <w:tc>
          <w:tcPr>
            <w:tcW w:type="dxa" w:w="2340"/>
            <w:shd w:fill="F2F2F2" w:val="clear"/>
          </w:tcPr>
          <w:p>
            <w:r>
              <w:t>Very High</w:t>
            </w:r>
          </w:p>
        </w:tc>
        <w:tc>
          <w:tcPr>
            <w:tcW w:type="dxa" w:w="2340"/>
            <w:shd w:fill="F2F2F2" w:val="clear"/>
          </w:tcPr>
          <w:p>
            <w:r>
              <w:t>$44,919,376</w:t>
            </w:r>
          </w:p>
        </w:tc>
      </w:tr>
      <w:tr>
        <w:tc>
          <w:tcPr>
            <w:tcW w:type="dxa" w:w="2340"/>
            <w:shd w:fill="FFFFFF" w:val="clear"/>
          </w:tcPr>
          <w:p>
            <w:r>
              <w:t>Hurricane</w:t>
            </w:r>
          </w:p>
        </w:tc>
        <w:tc>
          <w:tcPr>
            <w:tcW w:type="dxa" w:w="2340"/>
            <w:shd w:fill="FFFFFF" w:val="clear"/>
          </w:tcPr>
          <w:p>
            <w:r>
              <w:t>71.1</w:t>
            </w:r>
          </w:p>
        </w:tc>
        <w:tc>
          <w:tcPr>
            <w:tcW w:type="dxa" w:w="2340"/>
            <w:shd w:fill="FFFFFF" w:val="clear"/>
          </w:tcPr>
          <w:p>
            <w:r>
              <w:t>Relatively High</w:t>
            </w:r>
          </w:p>
        </w:tc>
        <w:tc>
          <w:tcPr>
            <w:tcW w:type="dxa" w:w="2340"/>
            <w:shd w:fill="FFFFFF" w:val="clear"/>
          </w:tcPr>
          <w:p>
            <w:r>
              <w:t>$3,903,179</w:t>
            </w:r>
          </w:p>
        </w:tc>
      </w:tr>
      <w:tr>
        <w:tc>
          <w:tcPr>
            <w:tcW w:type="dxa" w:w="2340"/>
            <w:shd w:fill="F2F2F2" w:val="clear"/>
          </w:tcPr>
          <w:p>
            <w:r>
              <w:t>Ice Storm</w:t>
            </w:r>
          </w:p>
        </w:tc>
        <w:tc>
          <w:tcPr>
            <w:tcW w:type="dxa" w:w="2340"/>
            <w:shd w:fill="F2F2F2" w:val="clear"/>
          </w:tcPr>
          <w:p>
            <w:r>
              <w:t>69.8</w:t>
            </w:r>
          </w:p>
        </w:tc>
        <w:tc>
          <w:tcPr>
            <w:tcW w:type="dxa" w:w="2340"/>
            <w:shd w:fill="F2F2F2" w:val="clear"/>
          </w:tcPr>
          <w:p>
            <w:r>
              <w:t>Relatively High</w:t>
            </w:r>
          </w:p>
        </w:tc>
        <w:tc>
          <w:tcPr>
            <w:tcW w:type="dxa" w:w="2340"/>
            <w:shd w:fill="F2F2F2" w:val="clear"/>
          </w:tcPr>
          <w:p>
            <w:r>
              <w:t>$444,744</w:t>
            </w:r>
          </w:p>
        </w:tc>
      </w:tr>
      <w:tr>
        <w:tc>
          <w:tcPr>
            <w:tcW w:type="dxa" w:w="2340"/>
            <w:shd w:fill="FFFFFF" w:val="clear"/>
          </w:tcPr>
          <w:p>
            <w:r>
              <w:t>Lightning</w:t>
            </w:r>
          </w:p>
        </w:tc>
        <w:tc>
          <w:tcPr>
            <w:tcW w:type="dxa" w:w="2340"/>
            <w:shd w:fill="FFFFFF" w:val="clear"/>
          </w:tcPr>
          <w:p>
            <w:r>
              <w:t>67.1</w:t>
            </w:r>
          </w:p>
        </w:tc>
        <w:tc>
          <w:tcPr>
            <w:tcW w:type="dxa" w:w="2340"/>
            <w:shd w:fill="FFFFFF" w:val="clear"/>
          </w:tcPr>
          <w:p>
            <w:r>
              <w:t>Relatively High</w:t>
            </w:r>
          </w:p>
        </w:tc>
        <w:tc>
          <w:tcPr>
            <w:tcW w:type="dxa" w:w="2340"/>
            <w:shd w:fill="FFFFFF" w:val="clear"/>
          </w:tcPr>
          <w:p>
            <w:r>
              <w:t>$691,027</w:t>
            </w:r>
          </w:p>
        </w:tc>
      </w:tr>
      <w:tr>
        <w:tc>
          <w:tcPr>
            <w:tcW w:type="dxa" w:w="2340"/>
            <w:shd w:fill="F2F2F2" w:val="clear"/>
          </w:tcPr>
          <w:p>
            <w:r>
              <w:t>Landslide</w:t>
            </w:r>
          </w:p>
        </w:tc>
        <w:tc>
          <w:tcPr>
            <w:tcW w:type="dxa" w:w="2340"/>
            <w:shd w:fill="F2F2F2" w:val="clear"/>
          </w:tcPr>
          <w:p>
            <w:r>
              <w:t>63.0</w:t>
            </w:r>
          </w:p>
        </w:tc>
        <w:tc>
          <w:tcPr>
            <w:tcW w:type="dxa" w:w="2340"/>
            <w:shd w:fill="F2F2F2" w:val="clear"/>
          </w:tcPr>
          <w:p>
            <w:r>
              <w:t>Relatively High</w:t>
            </w:r>
          </w:p>
        </w:tc>
        <w:tc>
          <w:tcPr>
            <w:tcW w:type="dxa" w:w="2340"/>
            <w:shd w:fill="F2F2F2" w:val="clear"/>
          </w:tcPr>
          <w:p>
            <w:r>
              <w:t>$22,355</w:t>
            </w:r>
          </w:p>
        </w:tc>
      </w:tr>
    </w:tbl>
    <w:p>
      <w:pPr>
        <w:pStyle w:val="HSSection"/>
      </w:pPr>
      <w:r>
        <w:t>Hazard-to-Program Alignment</w:t>
      </w:r>
    </w:p>
    <w:p>
      <w:pPr>
        <w:pStyle w:val="HSBody"/>
      </w:pPr>
      <w:r>
        <w:t>Saint Regis Mohawk Tribe's top hazard exposures (Inland Flooding, Hurricane,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Saint Regis Mohawk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Inland Flooding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Inland Flooding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Inland Flooding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Inland Flooding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Inland Flooding risk profile</w:t>
      </w:r>
    </w:p>
    <w:p>
      <w:r>
        <w:br w:type="page"/>
      </w:r>
    </w:p>
    <w:p>
      <w:pPr>
        <w:pStyle w:val="Heading2"/>
      </w:pPr>
      <w:r>
        <w:t>Messaging Framework</w:t>
      </w:r>
    </w:p>
    <w:p>
      <w:pPr>
        <w:pStyle w:val="HSBody"/>
      </w:pPr>
      <w:r>
        <w:t>Audience-calibrated talking points for Saint Regis Mohawk Tribe's advocacy engagements during the current congressional session.</w:t>
      </w:r>
    </w:p>
    <w:p>
      <w:pPr>
        <w:pStyle w:val="HSSection"/>
      </w:pPr>
      <w:r>
        <w:t>Core Message</w:t>
      </w:r>
    </w:p>
    <w:p>
      <w:pPr>
        <w:pStyle w:val="HSBody"/>
      </w:pPr>
      <w:r>
        <w:t>Saint Regis Mohawk Tribe faces significant inland flooding risk. Congress has funded programs that address this risk, but administrative delivery gaps and structural barriers prevent these resources from reaching Tribal communities in NY.</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Saint Regis Mohawk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Saint Regis Mohawk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