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The Seminole Nation of Oklahoma</w:t>
      </w:r>
    </w:p>
    <w:p>
      <w:pPr>
        <w:pStyle w:val="HSBody"/>
      </w:pPr>
      <w:r>
        <w:t>Prepared for the offices of: 4 Senators, 2 Representatives</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The Seminole Nation of Oklahoma's climate risk profile and geographic context.</w:t>
      </w:r>
    </w:p>
    <w:p>
      <w:r>
        <w:br w:type="page"/>
      </w:r>
    </w:p>
    <w:p>
      <w:pPr>
        <w:pStyle w:val="Heading2"/>
      </w:pPr>
      <w:r>
        <w:t>Executive Summary</w:t>
      </w:r>
    </w:p>
    <w:p>
      <w:pPr>
        <w:pStyle w:val="HSTitle"/>
      </w:pPr>
      <w:r>
        <w:t>The Seminole Nation of Oklahoma -- OK</w:t>
      </w:r>
    </w:p>
    <w:p>
      <w:pPr>
        <w:pStyle w:val="HSBody"/>
      </w:pPr>
      <w:r>
        <w:t>This strategy document outlines The Seminole Nation of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$31,173,143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Ashley Moody (R-FL)</w:t>
            </w:r>
          </w:p>
        </w:tc>
        <w:tc>
          <w:tcPr>
            <w:tcW w:type="dxa" w:w="1872"/>
            <w:shd w:fill="F2F2F2" w:val="clear"/>
          </w:tcPr>
          <w:p>
            <w:r>
              <w:t>Senator</w:t>
            </w:r>
          </w:p>
        </w:tc>
        <w:tc>
          <w:tcPr>
            <w:tcW w:type="dxa" w:w="1872"/>
            <w:shd w:fill="F2F2F2" w:val="clear"/>
          </w:tcPr>
          <w:p>
            <w:r>
              <w:t>FL</w:t>
            </w:r>
          </w:p>
        </w:tc>
        <w:tc>
          <w:tcPr>
            <w:tcW w:type="dxa" w:w="1872"/>
            <w:shd w:fill="F2F2F2" w:val="clear"/>
          </w:tcPr>
          <w:p>
            <w:r>
              <w:t>At-Large</w:t>
            </w:r>
          </w:p>
        </w:tc>
        <w:tc>
          <w:tcPr>
            <w:tcW w:type="dxa" w:w="1872"/>
            <w:shd w:fill="F2F2F2" w:val="clear"/>
          </w:tcPr>
          <w:p>
            <w:r/>
          </w:p>
        </w:tc>
      </w:tr>
      <w:tr>
        <w:tc>
          <w:tcPr>
            <w:tcW w:type="dxa" w:w="1872"/>
            <w:shd w:fill="FFFFFF" w:val="clear"/>
          </w:tcPr>
          <w:p>
            <w:r>
              <w:t>Sen. Rick Scott (R-FL)</w:t>
            </w:r>
          </w:p>
        </w:tc>
        <w:tc>
          <w:tcPr>
            <w:tcW w:type="dxa" w:w="1872"/>
            <w:shd w:fill="FFFFFF" w:val="clear"/>
          </w:tcPr>
          <w:p>
            <w:r>
              <w:t>Senator</w:t>
            </w:r>
          </w:p>
        </w:tc>
        <w:tc>
          <w:tcPr>
            <w:tcW w:type="dxa" w:w="1872"/>
            <w:shd w:fill="FFFFFF" w:val="clear"/>
          </w:tcPr>
          <w:p>
            <w:r>
              <w:t>FL</w:t>
            </w:r>
          </w:p>
        </w:tc>
        <w:tc>
          <w:tcPr>
            <w:tcW w:type="dxa" w:w="1872"/>
            <w:shd w:fill="FFFFFF" w:val="clear"/>
          </w:tcPr>
          <w:p>
            <w:r>
              <w:t>At-Large</w:t>
            </w:r>
          </w:p>
        </w:tc>
        <w:tc>
          <w:tcPr>
            <w:tcW w:type="dxa" w:w="1872"/>
            <w:shd w:fill="FFFFFF" w:val="clear"/>
          </w:tcPr>
          <w:p>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Debbie Wasserman Schultz (D-FL-25)</w:t>
            </w:r>
          </w:p>
        </w:tc>
        <w:tc>
          <w:tcPr>
            <w:tcW w:type="dxa" w:w="1872"/>
            <w:shd w:fill="F2F2F2" w:val="clear"/>
          </w:tcPr>
          <w:p>
            <w:r>
              <w:t>Representative</w:t>
            </w:r>
          </w:p>
        </w:tc>
        <w:tc>
          <w:tcPr>
            <w:tcW w:type="dxa" w:w="1872"/>
            <w:shd w:fill="F2F2F2" w:val="clear"/>
          </w:tcPr>
          <w:p>
            <w:r>
              <w:t>FL</w:t>
            </w:r>
          </w:p>
        </w:tc>
        <w:tc>
          <w:tcPr>
            <w:tcW w:type="dxa" w:w="1872"/>
            <w:shd w:fill="F2F2F2" w:val="clear"/>
          </w:tcPr>
          <w:p>
            <w:r>
              <w:t>25</w:t>
            </w:r>
          </w:p>
        </w:tc>
        <w:tc>
          <w:tcPr>
            <w:tcW w:type="dxa" w:w="1872"/>
            <w:shd w:fill="F2F2F2" w:val="clear"/>
          </w:tcPr>
          <w:p>
            <w:r>
              <w:t>House Committee on Appropriations; Agriculture, Rural Development, Food and Drug Administration, and Related Agencies; Energy and Water Development and Related Agencies</w:t>
            </w:r>
          </w:p>
        </w:tc>
      </w:tr>
      <w:tr>
        <w:tc>
          <w:tcPr>
            <w:tcW w:type="dxa" w:w="1872"/>
            <w:shd w:fill="FFFFFF" w:val="clear"/>
          </w:tcPr>
          <w:p>
            <w:r>
              <w:t>Rep. Stephanie I. Bice (R-OK-05)</w:t>
            </w:r>
          </w:p>
        </w:tc>
        <w:tc>
          <w:tcPr>
            <w:tcW w:type="dxa" w:w="1872"/>
            <w:shd w:fill="FFFFFF" w:val="clear"/>
          </w:tcPr>
          <w:p>
            <w:r>
              <w:t>Representative</w:t>
            </w:r>
          </w:p>
        </w:tc>
        <w:tc>
          <w:tcPr>
            <w:tcW w:type="dxa" w:w="1872"/>
            <w:shd w:fill="FFFFFF" w:val="clear"/>
          </w:tcPr>
          <w:p>
            <w:r>
              <w:t>OK</w:t>
            </w:r>
          </w:p>
        </w:tc>
        <w:tc>
          <w:tcPr>
            <w:tcW w:type="dxa" w:w="1872"/>
            <w:shd w:fill="FFFFFF" w:val="clear"/>
          </w:tcPr>
          <w:p>
            <w:r>
              <w:t>5</w:t>
            </w:r>
          </w:p>
        </w:tc>
        <w:tc>
          <w:tcPr>
            <w:tcW w:type="dxa" w:w="1872"/>
            <w:shd w:fill="FFFFFF" w:val="clear"/>
          </w:tcPr>
          <w:p>
            <w:r>
              <w:t>House Committee on Appropriations; Transportation, Housing and Urban Development, and Related Agencies</w:t>
            </w:r>
          </w:p>
        </w:tc>
      </w:tr>
    </w:tbl>
    <w:p>
      <w:pPr>
        <w:pStyle w:val="HSBody"/>
      </w:pPr>
      <w:r>
        <w:t>3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Rep. Debbie Wasserman Schultz (D-FL-25): Sits on House Committee on Appropriations; Agriculture, Rural Development, Food and Drug Administration, and Related Agencies; Energy and Water Development and Related Agencies. Direct influence on relevant programs.</w:t>
      </w:r>
    </w:p>
    <w:p>
      <w:pPr>
        <w:pStyle w:val="HSBody"/>
      </w:pPr>
      <w:r>
        <w:t>Rep. Stephanie I. Bice (R-OK-05): Sits on House Committee on Appropriations; Transportation, Housing and Urban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Seminole Nation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FEMA BRIC.</w:t>
      </w:r>
    </w:p>
    <w:p>
      <w:pPr>
        <w:pStyle w:val="HSBody"/>
      </w:pPr>
      <w:r>
        <w:t>Per-District Impact Allocation:</w:t>
      </w:r>
    </w:p>
    <w:p>
      <w:pPr>
        <w:pStyle w:val="HSBody"/>
      </w:pPr>
      <w:r>
        <w:t xml:space="preserve">  FL-25 (100% overlap): $900,000 - $1,200,000</w:t>
      </w:r>
    </w:p>
    <w:p>
      <w:pPr>
        <w:pStyle w:val="HSBody"/>
      </w:pPr>
      <w:r>
        <w:t xml:space="preserve">  OK-05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The Seminole Nation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BIA Tribal Climate Resilience.</w:t>
      </w:r>
    </w:p>
    <w:p>
      <w:pPr>
        <w:pStyle w:val="HSBody"/>
      </w:pPr>
      <w:r>
        <w:t>Per-District Impact Allocation:</w:t>
      </w:r>
    </w:p>
    <w:p>
      <w:pPr>
        <w:pStyle w:val="HSBody"/>
      </w:pPr>
      <w:r>
        <w:t xml:space="preserve">  FL-25 (100% overlap): $270,000 - $360,000</w:t>
      </w:r>
    </w:p>
    <w:p>
      <w:pPr>
        <w:pStyle w:val="HSBody"/>
      </w:pPr>
      <w:r>
        <w:t xml:space="preserve">  OK-05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The Seminole Nation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IRS Elective Pay.</w:t>
      </w:r>
    </w:p>
    <w:p>
      <w:pPr>
        <w:pStyle w:val="HSBody"/>
      </w:pPr>
      <w:r>
        <w:t>Per-District Impact Allocation:</w:t>
      </w:r>
    </w:p>
    <w:p>
      <w:pPr>
        <w:pStyle w:val="HSBody"/>
      </w:pPr>
      <w:r>
        <w:t xml:space="preserve">  FL-25 (100% overlap): $360,000 - $480,000</w:t>
      </w:r>
    </w:p>
    <w:p>
      <w:pPr>
        <w:pStyle w:val="HSBody"/>
      </w:pPr>
      <w:r>
        <w:t xml:space="preserve">  OK-05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Seminole Nation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FEMA Tribal Mitigation Plans.</w:t>
      </w:r>
    </w:p>
    <w:p>
      <w:pPr>
        <w:pStyle w:val="HSBody"/>
      </w:pPr>
      <w:r>
        <w:t>Per-District Impact Allocation:</w:t>
      </w:r>
    </w:p>
    <w:p>
      <w:pPr>
        <w:pStyle w:val="HSBody"/>
      </w:pPr>
      <w:r>
        <w:t xml:space="preserve">  FL-25 (100% overlap): $540,000 - $720,000</w:t>
      </w:r>
    </w:p>
    <w:p>
      <w:pPr>
        <w:pStyle w:val="HSBody"/>
      </w:pPr>
      <w:r>
        <w:t xml:space="preserve">  OK-05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$31,173,143</w:t>
            </w:r>
          </w:p>
        </w:tc>
        <w:tc>
          <w:tcPr>
            <w:tcW w:type="dxa" w:w="2340"/>
            <w:shd w:fill="F2F2F2" w:val="clear"/>
          </w:tcPr>
          <w:p>
            <w:r>
              <w:t>2011-10-18 - 2034-09-30</w:t>
            </w:r>
          </w:p>
        </w:tc>
      </w:tr>
    </w:tbl>
    <w:p>
      <w:pPr>
        <w:pStyle w:val="HSBody"/>
      </w:pPr>
      <w:r>
        <w:rPr>
          <w:b/>
        </w:rPr>
        <w:t>Total: $31,173,143</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The Seminole Nation of Oklahoma generated an estimated $56,111,657-$74,815,543 in regional economic activity (BEA RIMS II methodology, output multiplier range 1.8-2.4x), supporting approximately 249-468 jobs (BLS employment requirements methodology).</w:t>
      </w:r>
    </w:p>
    <w:p>
      <w:pPr>
        <w:pStyle w:val="HSBody"/>
      </w:pPr>
      <w:r>
        <w:t>Hazard Alignment: The Seminole Nation of Oklahoma's ice storm risk profile reinforces the economic case for continued federal investment in HUD IHBG.</w:t>
      </w:r>
    </w:p>
    <w:p>
      <w:pPr>
        <w:pStyle w:val="HSBody"/>
      </w:pPr>
      <w:r>
        <w:t>Per-District Impact Allocation:</w:t>
      </w:r>
    </w:p>
    <w:p>
      <w:pPr>
        <w:pStyle w:val="HSBody"/>
      </w:pPr>
      <w:r>
        <w:t xml:space="preserve">  FL-25 (100% overlap): $56,111,657 - $74,815,543</w:t>
      </w:r>
    </w:p>
    <w:p>
      <w:pPr>
        <w:pStyle w:val="HSBody"/>
      </w:pPr>
      <w:r>
        <w:t xml:space="preserve">  OK-05 (100% overlap): $56,111,657 - $74,815,543</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HUD IHBG funding to The Seminole Nation of Oklahoma generated an estimated $56,111,657-$74,815,543 in regional economic activity (BEA RIMS II methodology, output multiplier range 1.8-2.4x), supporting approximately 249-468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The Seminole Nation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DOE Indian Energy.</w:t>
      </w:r>
    </w:p>
    <w:p>
      <w:pPr>
        <w:pStyle w:val="HSBody"/>
      </w:pPr>
      <w:r>
        <w:t>Per-District Impact Allocation:</w:t>
      </w:r>
    </w:p>
    <w:p>
      <w:pPr>
        <w:pStyle w:val="HSBody"/>
      </w:pPr>
      <w:r>
        <w:t xml:space="preserve">  FL-25 (100% overlap): $360,000 - $480,000</w:t>
      </w:r>
    </w:p>
    <w:p>
      <w:pPr>
        <w:pStyle w:val="HSBody"/>
      </w:pPr>
      <w:r>
        <w:t xml:space="preserve">  OK-05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The Seminole Nation of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EPA GAP.</w:t>
      </w:r>
    </w:p>
    <w:p>
      <w:pPr>
        <w:pStyle w:val="HSBody"/>
      </w:pPr>
      <w:r>
        <w:t>Per-District Impact Allocation:</w:t>
      </w:r>
    </w:p>
    <w:p>
      <w:pPr>
        <w:pStyle w:val="HSBody"/>
      </w:pPr>
      <w:r>
        <w:t xml:space="preserve">  FL-25 (100% overlap): $135,000 - $180,000</w:t>
      </w:r>
    </w:p>
    <w:p>
      <w:pPr>
        <w:pStyle w:val="HSBody"/>
      </w:pPr>
      <w:r>
        <w:t xml:space="preserve">  OK-05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The Seminole Nation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USDA Wildfire Defense Grants.</w:t>
      </w:r>
    </w:p>
    <w:p>
      <w:pPr>
        <w:pStyle w:val="HSBody"/>
      </w:pPr>
      <w:r>
        <w:t>Per-District Impact Allocation:</w:t>
      </w:r>
    </w:p>
    <w:p>
      <w:pPr>
        <w:pStyle w:val="HSBody"/>
      </w:pPr>
      <w:r>
        <w:t xml:space="preserve">  FL-25 (100% overlap): $630,000 - $840,000</w:t>
      </w:r>
    </w:p>
    <w:p>
      <w:pPr>
        <w:pStyle w:val="HSBody"/>
      </w:pPr>
      <w:r>
        <w:t xml:space="preserve">  OK-05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The Seminole Nation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USBR WaterSMART.</w:t>
      </w:r>
    </w:p>
    <w:p>
      <w:pPr>
        <w:pStyle w:val="HSBody"/>
      </w:pPr>
      <w:r>
        <w:t>Per-District Impact Allocation:</w:t>
      </w:r>
    </w:p>
    <w:p>
      <w:pPr>
        <w:pStyle w:val="HSBody"/>
      </w:pPr>
      <w:r>
        <w:t xml:space="preserve">  FL-25 (100% overlap): $450,000 - $600,000</w:t>
      </w:r>
    </w:p>
    <w:p>
      <w:pPr>
        <w:pStyle w:val="HSBody"/>
      </w:pPr>
      <w:r>
        <w:t xml:space="preserve">  OK-05 (100% overlap): $450,000 - $600,000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The Seminole Nation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The Seminole Nation of Oklahoma's ice storm risk profile reinforces the economic case for continued federal investment in USBR TAP.</w:t>
      </w:r>
    </w:p>
    <w:p>
      <w:pPr>
        <w:pStyle w:val="HSBody"/>
      </w:pPr>
      <w:r>
        <w:t>Per-District Impact Allocation:</w:t>
      </w:r>
    </w:p>
    <w:p>
      <w:pPr>
        <w:pStyle w:val="HSBody"/>
      </w:pPr>
      <w:r>
        <w:t xml:space="preserve">  FL-25 (100% overlap): $216,000 - $288,000</w:t>
      </w:r>
    </w:p>
    <w:p>
      <w:pPr>
        <w:pStyle w:val="HSBody"/>
      </w:pPr>
      <w:r>
        <w:t xml:space="preserve">  OK-05 (100% overlap): $216,000 - $288,000</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Seminole Nation of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Seminole Nation of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The Seminole Nation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Ashley Moody (R-FL)</w:t>
      </w:r>
    </w:p>
    <w:p>
      <w:pPr>
        <w:pStyle w:val="HSBody"/>
      </w:pPr>
      <w:r>
        <w:t>Sen. Rick Scott (R-FL)</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Debbie Wasserman Schultz (D-FL-25)</w:t>
      </w:r>
    </w:p>
    <w:p>
      <w:pPr>
        <w:pStyle w:val="HSBody"/>
      </w:pPr>
      <w:r>
        <w:rPr>
          <w:b/>
        </w:rPr>
        <w:t>Rep. Debbie Wasserman Schultz (D-FL-25) sits on House Committee on Appropriations -- direct influence on this program</w:t>
      </w:r>
    </w:p>
    <w:p>
      <w:pPr>
        <w:pStyle w:val="HSBody"/>
      </w:pPr>
      <w:r>
        <w:rPr>
          <w:b/>
        </w:rPr>
        <w:t>Rep. Debbie Wasserman Schultz (D-FL-25) sits on Agriculture, Rural Development, Food and Drug Administration, and Related Agencies -- direct influence on this program</w:t>
      </w:r>
    </w:p>
    <w:p>
      <w:pPr>
        <w:pStyle w:val="HSBody"/>
      </w:pPr>
      <w:r>
        <w:rPr>
          <w:b/>
        </w:rPr>
        <w:t>Rep. Debbie Wasserman Schultz (D-FL-25) sits on Energy and Water Development and Related Agencies -- direct influence on this program</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The Seminole Nation of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The Seminole Nation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Messaging Framework</w:t>
      </w:r>
    </w:p>
    <w:p>
      <w:pPr>
        <w:pStyle w:val="HSBody"/>
      </w:pPr>
      <w:r>
        <w:t>Audience-calibrated talking points for The Seminole Nation of Oklahoma's advocacy engagements during the current congressional session.</w:t>
      </w:r>
    </w:p>
    <w:p>
      <w:pPr>
        <w:pStyle w:val="HSSection"/>
      </w:pPr>
      <w:r>
        <w:t>Core Message</w:t>
      </w:r>
    </w:p>
    <w:p>
      <w:pPr>
        <w:pStyle w:val="HSBody"/>
      </w:pPr>
      <w:r>
        <w:t>The Seminole Nation of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The Seminole Nation of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The Seminole Nation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