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Akiachak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Akiachak Native Community's climate risk profile and geographic context.</w:t>
      </w:r>
    </w:p>
    <w:p>
      <w:r>
        <w:br w:type="page"/>
      </w:r>
    </w:p>
    <w:p>
      <w:pPr>
        <w:pStyle w:val="Heading2"/>
      </w:pPr>
      <w:r>
        <w:t>Executive Summary</w:t>
      </w:r>
    </w:p>
    <w:p>
      <w:pPr>
        <w:pStyle w:val="HSTitle"/>
      </w:pPr>
      <w:r>
        <w:t>Akiachak Native Community -- AK</w:t>
      </w:r>
    </w:p>
    <w:p>
      <w:pPr>
        <w:pStyle w:val="HSBody"/>
      </w:pPr>
      <w:r>
        <w:t>This strategy document outlines Akiachak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$11,473,459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Akiachak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Akiachak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Akiachak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Akiachak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Akiachak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Akiachak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Akiachak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Akiachak Native Community generated an estimated $950,400-$1,267,200 in regional economic activity (BEA RIMS II methodology, output multiplier range 1.8-2.4x), supporting approximately 4-8 jobs (BLS employment requirements methodology).</w:t>
      </w:r>
    </w:p>
    <w:p>
      <w:pPr>
        <w:pStyle w:val="HSBody"/>
      </w:pPr>
      <w:r>
        <w:t>Hazard Alignment: Akiachak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EPA GAP funding to Akiachak Native Community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$123,220</w:t>
            </w:r>
          </w:p>
        </w:tc>
        <w:tc>
          <w:tcPr>
            <w:tcW w:type="dxa" w:w="2340"/>
            <w:shd w:fill="F2F2F2" w:val="clear"/>
          </w:tcPr>
          <w:p>
            <w:r>
              <w:t>2022-05-16 - 2025-05-15</w:t>
            </w:r>
          </w:p>
        </w:tc>
      </w:tr>
    </w:tbl>
    <w:p>
      <w:pPr>
        <w:pStyle w:val="HSBody"/>
      </w:pPr>
      <w:r>
        <w:rPr>
          <w:b/>
        </w:rPr>
        <w:t>Total: $123,220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Akiachak Native Community generated an estimated $221,796-$295,728 in regional economic activity (BEA RIMS II methodology, output multiplier range 1.8-2.4x), supporting approximately 1-2 jobs (BLS employment requirements methodology).</w:t>
      </w:r>
    </w:p>
    <w:p>
      <w:pPr>
        <w:pStyle w:val="HSBody"/>
      </w:pPr>
      <w:r>
        <w:t>Hazard Alignment: Akiachak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DOE Indian Energy funding to Akiachak Native Community generated an estimated $221,796-$295,728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Akiachak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$7,710,551</w:t>
            </w:r>
          </w:p>
        </w:tc>
        <w:tc>
          <w:tcPr>
            <w:tcW w:type="dxa" w:w="2340"/>
            <w:shd w:fill="F2F2F2" w:val="clear"/>
          </w:tcPr>
          <w:p>
            <w:r>
              <w:t>2012-01-06 - 2034-09-30</w:t>
            </w:r>
          </w:p>
        </w:tc>
      </w:tr>
    </w:tbl>
    <w:p>
      <w:pPr>
        <w:pStyle w:val="HSBody"/>
      </w:pPr>
      <w:r>
        <w:rPr>
          <w:b/>
        </w:rPr>
        <w:t>Total: $7,710,551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Akiachak Native Community generated an estimated $13,878,992-$18,505,322 in regional economic activity (BEA RIMS II methodology, output multiplier range 1.8-2.4x), supporting approximately 62-116 jobs (BLS employment requirements methodology).</w:t>
      </w:r>
    </w:p>
    <w:p>
      <w:pPr>
        <w:pStyle w:val="HSBody"/>
      </w:pPr>
      <w:r>
        <w:t>Hazard Alignment: Akiachak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HUD IHBG funding to Akiachak Native Community generated an estimated $13,878,992-$18,505,322 in regional economic activity (BEA RIMS II methodology, output multiplier range 1.8-2.4x), supporting approximately 62-116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Akiachak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Akiachak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Akiachak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Akiachak Native Community's advocacy engagements during the current congressional session.</w:t>
      </w:r>
    </w:p>
    <w:p>
      <w:pPr>
        <w:pStyle w:val="HSSection"/>
      </w:pPr>
      <w:r>
        <w:t>Core Message</w:t>
      </w:r>
    </w:p>
    <w:p>
      <w:pPr>
        <w:pStyle w:val="HSBody"/>
      </w:pPr>
      <w:r>
        <w:t>Akiachak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Akiachak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Akiachak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