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Beaver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Beaver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Beaver Village -- AK</w:t>
      </w:r>
    </w:p>
    <w:p>
      <w:pPr>
        <w:pStyle w:val="HSBody"/>
      </w:pPr>
      <w:r>
        <w:t>This strategy document outlines Beaver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$528,000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$528,000</w:t>
            </w:r>
          </w:p>
        </w:tc>
        <w:tc>
          <w:tcPr>
            <w:tcW w:type="dxa" w:w="2340"/>
            <w:shd w:fill="F2F2F2" w:val="clear"/>
          </w:tcPr>
          <w:p>
            <w:r>
              <w:t>2022-10-01 - 2026-09-30</w:t>
            </w:r>
          </w:p>
        </w:tc>
      </w:tr>
    </w:tbl>
    <w:p>
      <w:pPr>
        <w:pStyle w:val="HSBody"/>
      </w:pPr>
      <w:r>
        <w:rPr>
          <w:b/>
        </w:rPr>
        <w:t>Total: $528,000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Beaver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Beaver Village generated an estimated $950,400-$1,267,200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Beaver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Beaver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Beaver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Beaver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Beaver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Beaver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Beaver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Beaver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Beaver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