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Council's climate risk profile and geographic context.</w:t>
      </w:r>
    </w:p>
    <w:p>
      <w:r>
        <w:br w:type="page"/>
      </w:r>
    </w:p>
    <w:p>
      <w:pPr>
        <w:pStyle w:val="Heading2"/>
      </w:pPr>
      <w:r>
        <w:t>Executive Summary</w:t>
      </w:r>
    </w:p>
    <w:p>
      <w:pPr>
        <w:pStyle w:val="HSTitle"/>
      </w:pPr>
      <w:r>
        <w:t>Native Village of Council -- AK</w:t>
      </w:r>
    </w:p>
    <w:p>
      <w:pPr>
        <w:pStyle w:val="HSBody"/>
      </w:pPr>
      <w:r>
        <w:t>This strategy document outlines Native Village of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$1,533,604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Council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$370,248</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2024-10-01 - 2026-09-30</w:t>
            </w:r>
          </w:p>
        </w:tc>
      </w:tr>
    </w:tbl>
    <w:p>
      <w:pPr>
        <w:pStyle w:val="HSBody"/>
      </w:pPr>
      <w:r>
        <w:rPr>
          <w:b/>
        </w:rPr>
        <w:t>Total: $638,248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Council generated an estimated $1,148,846-$1,531,795 in regional economic activity (BEA RIMS II methodology, output multiplier range 1.8-2.4x), supporting approximately 5-10 jobs (BLS employment requirements methodology).</w:t>
      </w:r>
    </w:p>
    <w:p>
      <w:pPr>
        <w:pStyle w:val="HSBody"/>
      </w:pPr>
      <w:r>
        <w:t>Hazard Alignment: Native Village of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EPA GAP funding to Native Village of Council generated an estimated $1,148,846-$1,531,795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Council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Council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Council's advocacy engagements during the current congressional session.</w:t>
      </w:r>
    </w:p>
    <w:p>
      <w:pPr>
        <w:pStyle w:val="HSSection"/>
      </w:pPr>
      <w:r>
        <w:t>Core Message</w:t>
      </w:r>
    </w:p>
    <w:p>
      <w:pPr>
        <w:pStyle w:val="HSBody"/>
      </w:pPr>
      <w:r>
        <w:t>Native Village of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Council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