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Hughes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Hughes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Hughes Village -- AK</w:t>
      </w:r>
    </w:p>
    <w:p>
      <w:pPr>
        <w:pStyle w:val="HSBody"/>
      </w:pPr>
      <w:r>
        <w:t>This strategy document outlines Hughes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$2,060,199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$385,000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$268,000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$653,000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Hughes Village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Hughes Village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$913,310</w:t>
            </w:r>
          </w:p>
        </w:tc>
        <w:tc>
          <w:tcPr>
            <w:tcW w:type="dxa" w:w="2340"/>
            <w:shd w:fill="F2F2F2" w:val="clear"/>
          </w:tcPr>
          <w:p>
            <w:r>
              <w:t>2016-08-01 - 2023-12-31</w:t>
            </w:r>
          </w:p>
        </w:tc>
      </w:tr>
    </w:tbl>
    <w:p>
      <w:pPr>
        <w:pStyle w:val="HSBody"/>
      </w:pPr>
      <w:r>
        <w:rPr>
          <w:b/>
        </w:rPr>
        <w:t>Total: $913,310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Hughes Village generated an estimated $1,643,958-$2,191,944 in regional economic activity (BEA RIMS II methodology, output multiplier range 1.8-2.4x), supporting approximately 7-14 jobs (BLS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Hughes Village generated an estimated $1,643,958-$2,191,944 in regional economic activity (BEA RIMS II methodology, output multiplier range 1.8-2.4x), supporting approximately 7-14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Hughes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Hughes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Hughes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Hughes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Hughes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Hughes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Hughes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Hughes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Hughes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