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Kasigluk Traditional Elders Council</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Kasigluk Traditional Elders Council's climate risk profile and geographic context.</w:t>
      </w:r>
    </w:p>
    <w:p>
      <w:r>
        <w:br w:type="page"/>
      </w:r>
    </w:p>
    <w:p>
      <w:pPr>
        <w:pStyle w:val="Heading2"/>
      </w:pPr>
      <w:r>
        <w:t>Executive Summary</w:t>
      </w:r>
    </w:p>
    <w:p>
      <w:pPr>
        <w:pStyle w:val="HSTitle"/>
      </w:pPr>
      <w:r>
        <w:t>Kasigluk Traditional Elders Council -- AK</w:t>
      </w:r>
    </w:p>
    <w:p>
      <w:pPr>
        <w:pStyle w:val="HSBody"/>
      </w:pPr>
      <w:r>
        <w:t>This strategy document outlines Kasigluk Traditional Elders Council's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$1,214,493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Kasigluk Traditional Elders Council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Kasigluk Traditional Elders Council's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Kasigluk Traditional Elders Council's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Kasigluk Traditional Elders Council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Kasigluk Traditional Elders Council's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Kasigluk Traditional Elders Council's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Kasigluk Traditional Elders Council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Kasigluk Traditional Elders Council's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Kasigluk Traditional Elders Council's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Kasigluk Traditional Elders Council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Kasigluk Traditional Elders Council's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Kasigluk Traditional Elders Council's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Kasigluk Traditional Elders Council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Kasigluk Traditional Elders Council's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Kasigluk Traditional Elders Council's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$403,000</w:t>
            </w:r>
          </w:p>
        </w:tc>
        <w:tc>
          <w:tcPr>
            <w:tcW w:type="dxa" w:w="2340"/>
            <w:shd w:fill="F2F2F2" w:val="clear"/>
          </w:tcPr>
          <w:p>
            <w:r>
              <w:t>2023-10-01 - 2027-09-30</w:t>
            </w:r>
          </w:p>
        </w:tc>
      </w:tr>
    </w:tbl>
    <w:p>
      <w:pPr>
        <w:pStyle w:val="HSBody"/>
      </w:pPr>
      <w:r>
        <w:rPr>
          <w:b/>
        </w:rPr>
        <w:t>Total: $403,000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Kasigluk Traditional Elders Council generated an estimated $725,400-$967,200 in regional economic activity (BEA RIMS II methodology, output multiplier range 1.8-2.4x), supporting approximately 3-6 jobs (BLS employment requirements methodology).</w:t>
      </w:r>
    </w:p>
    <w:p>
      <w:pPr>
        <w:pStyle w:val="HSBody"/>
      </w:pPr>
      <w:r>
        <w:t>Hazard Alignment: Kasigluk Traditional Elders Council's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Kasigluk Traditional Elders Council's Landslide, Avalanche and Earthquake risk makes this program critical for community resilience</w:t>
      </w:r>
    </w:p>
    <w:p>
      <w:pPr>
        <w:pStyle w:val="HSCalloutDetail"/>
        <w:shd w:fill="EEF2FF" w:val="clear"/>
      </w:pPr>
      <w:r>
        <w:t>IMPACT: EPA GAP funding to Kasigluk Traditional Elders Council generated an estimated $725,400-$967,200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Kasigluk Traditional Elders Council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Kasigluk Traditional Elders Council's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Kasigluk Traditional Elders Council's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Kasigluk Traditional Elders Council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Kasigluk Traditional Elders Council's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Kasigluk Traditional Elders Council's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Kasigluk Traditional Elders Council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Kasigluk Traditional Elders Council's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Kasigluk Traditional Elders Council's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Kasigluk Traditional Elders Council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Kasigluk Traditional Elders Council's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Kasigluk Traditional Elders Council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Kasigluk Traditional Elders Council's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Kasigluk Traditional Elders Council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Kasigluk Traditional Elders Council's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Kasigluk Traditional Elders Council's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Kasigluk Traditional Elders Council's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Kasigluk Traditional Elders Council.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Kasigluk Traditional Elders Council's advocacy engagements during the current congressional session.</w:t>
      </w:r>
    </w:p>
    <w:p>
      <w:pPr>
        <w:pStyle w:val="HSSection"/>
      </w:pPr>
      <w:r>
        <w:t>Core Message</w:t>
      </w:r>
    </w:p>
    <w:p>
      <w:pPr>
        <w:pStyle w:val="HSBody"/>
      </w:pPr>
      <w:r>
        <w:t>Kasigluk Traditional Elders Council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Kasigluk Traditional Elders Council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Kasigluk Traditional Elders Council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