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Kivalina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Kivalina's climate risk profile and geographic context.</w:t>
      </w:r>
    </w:p>
    <w:p>
      <w:r>
        <w:br w:type="page"/>
      </w:r>
    </w:p>
    <w:p>
      <w:pPr>
        <w:pStyle w:val="Heading2"/>
      </w:pPr>
      <w:r>
        <w:t>Executive Summary</w:t>
      </w:r>
    </w:p>
    <w:p>
      <w:pPr>
        <w:pStyle w:val="HSTitle"/>
      </w:pPr>
      <w:r>
        <w:t>Native Village of Kivalina -- AK</w:t>
      </w:r>
    </w:p>
    <w:p>
      <w:pPr>
        <w:pStyle w:val="HSBody"/>
      </w:pPr>
      <w:r>
        <w:t>This strategy document outlines Native Village of Kivalina's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$9,298,432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Kivalina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Kivalina's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$149,063</w:t>
            </w:r>
          </w:p>
        </w:tc>
        <w:tc>
          <w:tcPr>
            <w:tcW w:type="dxa" w:w="2340"/>
            <w:shd w:fill="F2F2F2" w:val="clear"/>
          </w:tcPr>
          <w:p>
            <w:r>
              <w:t>2020-06-01 - 2023-12-31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2019-08-01 - 2020-12-31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$249,815</w:t>
            </w:r>
          </w:p>
        </w:tc>
        <w:tc>
          <w:tcPr>
            <w:tcW w:type="dxa" w:w="2340"/>
            <w:shd w:fill="F2F2F2" w:val="clear"/>
          </w:tcPr>
          <w:p>
            <w:r>
              <w:t>2023-07-31 - 2026-09-30</w:t>
            </w:r>
          </w:p>
        </w:tc>
      </w:tr>
    </w:tbl>
    <w:p>
      <w:pPr>
        <w:pStyle w:val="HSBody"/>
      </w:pPr>
      <w:r>
        <w:rPr>
          <w:b/>
        </w:rPr>
        <w:t>Total: $398,878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Kivalina generated an estimated $717,980-$957,307 in regional economic activity (BEA RIMS II methodology, output multiplier range 1.8-2.4x), supporting approximately 3-6 jobs (BLS employment requirements methodology).</w:t>
      </w:r>
    </w:p>
    <w:p>
      <w:pPr>
        <w:pStyle w:val="HSBody"/>
      </w:pPr>
      <w:r>
        <w:t>Hazard Alignment: Native Village of Kivalina's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BIA Tribal Climate Resilience funding to Native Village of Kivalina generated an estimated $717,980-$957,307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Kivalina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Kivalina's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Kivalina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Kivalina's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Kivalina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Kivalina's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$375,000</w:t>
            </w:r>
          </w:p>
        </w:tc>
        <w:tc>
          <w:tcPr>
            <w:tcW w:type="dxa" w:w="2340"/>
            <w:shd w:fill="F2F2F2" w:val="clear"/>
          </w:tcPr>
          <w:p>
            <w:r>
              <w:t>2020-10-01 - 2024-09-30</w:t>
            </w:r>
          </w:p>
        </w:tc>
      </w:tr>
    </w:tbl>
    <w:p>
      <w:pPr>
        <w:pStyle w:val="HSBody"/>
      </w:pPr>
      <w:r>
        <w:rPr>
          <w:b/>
        </w:rPr>
        <w:t>Total: $375,000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Kivalina generated an estimated $675,000-$900,000 in regional economic activity (BEA RIMS II methodology, output multiplier range 1.8-2.4x), supporting approximately 3-6 jobs (BLS employment requirements methodology).</w:t>
      </w:r>
    </w:p>
    <w:p>
      <w:pPr>
        <w:pStyle w:val="HSBody"/>
      </w:pPr>
      <w:r>
        <w:t>Hazard Alignment: Native Village of Kivalina's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EPA GAP funding to Native Village of Kivalina generated an estimated $675,000-$900,000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Kivalina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Kivalina's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Kivalina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Kivalina's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$7,240,861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$262,902</w:t>
            </w:r>
          </w:p>
        </w:tc>
        <w:tc>
          <w:tcPr>
            <w:tcW w:type="dxa" w:w="2340"/>
            <w:shd w:fill="FFFFFF" w:val="clear"/>
          </w:tcPr>
          <w:p>
            <w:r>
              <w:t>2022-06-07 - 2026-09-30</w:t>
            </w:r>
          </w:p>
        </w:tc>
      </w:tr>
    </w:tbl>
    <w:p>
      <w:pPr>
        <w:pStyle w:val="HSBody"/>
      </w:pPr>
      <w:r>
        <w:rPr>
          <w:b/>
        </w:rPr>
        <w:t>Total: $7,503,763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Kivalina generated an estimated $13,506,774-$18,009,032 in regional economic activity (BEA RIMS II methodology, output multiplier range 1.8-2.4x), supporting approximately 60-113 jobs (BLS employment requirements methodology).</w:t>
      </w:r>
    </w:p>
    <w:p>
      <w:pPr>
        <w:pStyle w:val="HSBody"/>
      </w:pPr>
      <w:r>
        <w:t>Hazard Alignment: Native Village of Kivalina's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HUD IHBG funding to Native Village of Kivalina generated an estimated $13,506,774-$18,009,032 in regional economic activity (BEA RIMS II methodology, output multiplier range 1.8-2.4x), supporting approximately 60-113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Kivalina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Kivalina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Kivalina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Kivalina's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Kivalina's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Kivalina's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Kivalina.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Kivalina's advocacy engagements during the current congressional session.</w:t>
      </w:r>
    </w:p>
    <w:p>
      <w:pPr>
        <w:pStyle w:val="HSSection"/>
      </w:pPr>
      <w:r>
        <w:t>Core Message</w:t>
      </w:r>
    </w:p>
    <w:p>
      <w:pPr>
        <w:pStyle w:val="HSBody"/>
      </w:pPr>
      <w:r>
        <w:t>Native Village of Kivalina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Kivalina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Kivalina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