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Levelock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Levelock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Levelock Village -- AK</w:t>
      </w:r>
    </w:p>
    <w:p>
      <w:pPr>
        <w:pStyle w:val="HSBody"/>
      </w:pPr>
      <w:r>
        <w:t>This strategy document outlines Levelock Village's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$8,294,804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Dan Sullivan (R-AK): Sits on Senate Committee on Commerce, Science, and Transportation; Surface Transportation, Freight, Pipelines, and Safety. Direct influence on relevant programs.</w:t>
      </w:r>
    </w:p>
    <w:p>
      <w:pPr>
        <w:pStyle w:val="HSBody"/>
      </w:pPr>
      <w:r>
        <w:t>Sen. Lisa Murkowski (R-AK): Sits on Senate Committee on Appropriations; Commerce, Justice, Science, and Related Agencies; Energy and Water Development; Department of Interior, Environment, and Related Agencies; Senate Committee on Energy and Natural Resources; Senate Committee on Indian Affairs. Direct influence on relevant programs.</w:t>
      </w:r>
    </w:p>
    <w:p>
      <w:pPr>
        <w:pStyle w:val="HSBody"/>
      </w:pPr>
      <w:r>
        <w:t>Rep. Nicholas J. Begich (R-AK-AL):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Levelock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Levelock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Levelock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$3,623,558</w:t>
            </w:r>
          </w:p>
        </w:tc>
        <w:tc>
          <w:tcPr>
            <w:tcW w:type="dxa" w:w="2340"/>
            <w:shd w:fill="F2F2F2" w:val="clear"/>
          </w:tcPr>
          <w:p>
            <w:r>
              <w:t>2024-08-13 - 2029-12-31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$24,234</w:t>
            </w:r>
          </w:p>
        </w:tc>
        <w:tc>
          <w:tcPr>
            <w:tcW w:type="dxa" w:w="2340"/>
            <w:shd w:fill="FFFFFF" w:val="clear"/>
          </w:tcPr>
          <w:p>
            <w:r>
              <w:t>2024-08-13 - 2029-12-31</w:t>
            </w:r>
          </w:p>
        </w:tc>
      </w:tr>
    </w:tbl>
    <w:p>
      <w:pPr>
        <w:pStyle w:val="HSBody"/>
      </w:pPr>
      <w:r>
        <w:rPr>
          <w:b/>
        </w:rPr>
        <w:t>Total: $3,647,792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Levelock Village generated an estimated $6,566,026-$8,754,701 in regional economic activity (BEA RIMS II methodology, output multiplier range 1.8-2.4x), supporting approximately 29-55 jobs (BLS employment requirements methodology).</w:t>
      </w:r>
    </w:p>
    <w:p>
      <w:pPr>
        <w:pStyle w:val="HSBody"/>
      </w:pPr>
      <w:r>
        <w:t>Hazard Alignment: Levelock Village's landslide risk profile reinforces the economic case for continued federal investment in BIA Tribal Climate Resilience.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Levelock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Levelock Village generated an estimated $6,566,026-$8,754,701 in regional economic activity (BEA RIMS II methodology, output multiplier range 1.8-2.4x), supporting approximately 29-55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Levelock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Levelock Village's landslide risk profile reinforces the economic case for continued federal investment in IRS Elective Pay.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Levelock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Levelock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Levelock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Levelock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Levelock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Levelock Village's landslide risk profile reinforces the economic case for continued federal investment in DOT PROTECT.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Levelock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$519,000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$134,000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2025-10-01 - 2027-09-30</w:t>
            </w:r>
          </w:p>
        </w:tc>
      </w:tr>
    </w:tbl>
    <w:p>
      <w:pPr>
        <w:pStyle w:val="HSBody"/>
      </w:pPr>
      <w:r>
        <w:rPr>
          <w:b/>
        </w:rPr>
        <w:t>Total: $653,000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Levelock Village generated an estimated $1,175,400-$1,567,200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Levelock Village's landslide risk profile reinforces the economic case for continued federal investment in EPA GAP.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Levelock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Levelock Village generated an estimated $1,175,400-$1,567,200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Levelock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Levelock Village's landslide risk profile reinforces the economic case for continued federal investment in DOE Indian Energy.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Levelock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Levelock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Levelock Village's landslide risk profile reinforces the economic case for continued federal investment in NOAA Tribal Grants.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Levelock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Levelock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Levelock Village's landslide risk profile reinforces the economic case for continued federal investment in HUD IHBG.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Levelock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Levelock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 full approval authority; protect Tribal project pipeline. FEMA post-disaster hazard mitigation grant program under Stafford Act Section 404. Triggered by presidential disaster declarations.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 full approval authority; protect Tribal project pipeline</w:t>
      </w:r>
    </w:p>
    <w:p>
      <w:pPr>
        <w:pStyle w:val="HSCalloutDetail"/>
        <w:shd w:fill="EEF2FF" w:val="clear"/>
      </w:pPr>
      <w:r>
        <w:t>WHY: Levelock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Levelock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Protect $50M Tribal set-aside; simplify application for NFIP-participating Tribes. FEMA Flood Mitigation Assistance program for NFIP-participating communities. $600M/year with $50M Tribal set-aside.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$50M Tribal set-aside; simplify application for NFIP-participating Tribes</w:t>
      </w:r>
    </w:p>
    <w:p>
      <w:pPr>
        <w:pStyle w:val="HSCalloutDetail"/>
        <w:shd w:fill="EEF2FF" w:val="clear"/>
      </w:pPr>
      <w:r>
        <w:t>WHY: Levelock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Levelock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Levelock Village's landslide risk profile reinforces the economic case for continued federal investment in EPA STAG.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Levelock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Levelock Village's top hazard exposures (Landslide, Avalanche, Earthquake)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Levelock Village.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Levelock Village's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Levelock Village faces significant landslide risk. Congress has funded programs that address this risk, but administrative delivery gaps and structural barriers prevent these resources from reaching Tribal communities in AK.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Levelock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Levelock Village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