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Nenana Native Association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Nenana Native Association's climate risk profile and geographic context.</w:t>
      </w:r>
    </w:p>
    <w:p>
      <w:r>
        <w:br w:type="page"/>
      </w:r>
    </w:p>
    <w:p>
      <w:pPr>
        <w:pStyle w:val="Heading2"/>
      </w:pPr>
      <w:r>
        <w:t>Executive Summary</w:t>
      </w:r>
    </w:p>
    <w:p>
      <w:pPr>
        <w:pStyle w:val="HSTitle"/>
      </w:pPr>
      <w:r>
        <w:t>Nenana Native Association -- AK</w:t>
      </w:r>
    </w:p>
    <w:p>
      <w:pPr>
        <w:pStyle w:val="HSBody"/>
      </w:pPr>
      <w:r>
        <w:t>This strategy document outlines Nenana Native Association's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$374,863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Nenana Native Association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Nenana Native Association's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Nenana Native Association's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Nenana Native Association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Nenana Native Association's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Nenana Native Association's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Nenana Native Association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Nenana Native Association's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Nenana Native Association's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Nenana Native Association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Nenana Native Association's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Nenana Native Association's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Nenana Native Association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Nenana Native Association's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Nenana Native Association's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$125,000</w:t>
            </w:r>
          </w:p>
        </w:tc>
        <w:tc>
          <w:tcPr>
            <w:tcW w:type="dxa" w:w="2340"/>
            <w:shd w:fill="F2F2F2" w:val="clear"/>
          </w:tcPr>
          <w:p>
            <w:r>
              <w:t>2023-10-01 - 2026-09-30</w:t>
            </w:r>
          </w:p>
        </w:tc>
      </w:tr>
    </w:tbl>
    <w:p>
      <w:pPr>
        <w:pStyle w:val="HSBody"/>
      </w:pPr>
      <w:r>
        <w:rPr>
          <w:b/>
        </w:rPr>
        <w:t>Total: $125,000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Nenana Native Association generated an estimated $225,000-$300,000 in regional economic activity (BEA RIMS II methodology, output multiplier range 1.8-2.4x), supporting approximately 1-2 jobs (BLS employment requirements methodology).</w:t>
      </w:r>
    </w:p>
    <w:p>
      <w:pPr>
        <w:pStyle w:val="HSBody"/>
      </w:pPr>
      <w:r>
        <w:t>Hazard Alignment: Nenana Native Association's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Nenana Native Association's Landslide, Avalanche and Earthquake risk makes this program critical for community resilience</w:t>
      </w:r>
    </w:p>
    <w:p>
      <w:pPr>
        <w:pStyle w:val="HSCalloutDetail"/>
        <w:shd w:fill="EEF2FF" w:val="clear"/>
      </w:pPr>
      <w:r>
        <w:t>IMPACT: EPA GAP funding to Nenana Native Association generated an estimated $225,000-$300,000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Nenana Native Association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Nenana Native Association's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Nenana Native Association's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Nenana Native Association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Nenana Native Association's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Nenana Native Association's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Nenana Native Association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Nenana Native Association's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Nenana Native Association's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Nenana Native Association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Nenana Native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Nenana Native Association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Nenana Native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Nenana Native Association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Nenana Native Association's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Nenana Native Association's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Nenana Native Association's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Nenana Native Association.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Nenana Native Association's advocacy engagements during the current congressional session.</w:t>
      </w:r>
    </w:p>
    <w:p>
      <w:pPr>
        <w:pStyle w:val="HSSection"/>
      </w:pPr>
      <w:r>
        <w:t>Core Message</w:t>
      </w:r>
    </w:p>
    <w:p>
      <w:pPr>
        <w:pStyle w:val="HSBody"/>
      </w:pPr>
      <w:r>
        <w:t>Nenana Native Association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Nenana Native Association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Nenana Native Association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