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New Koliganek Village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New Koliganek Village Council's climate risk profile and geographic context.</w:t>
      </w:r>
    </w:p>
    <w:p>
      <w:r>
        <w:br w:type="page"/>
      </w:r>
    </w:p>
    <w:p>
      <w:pPr>
        <w:pStyle w:val="Heading2"/>
      </w:pPr>
      <w:r>
        <w:t>Executive Summary</w:t>
      </w:r>
    </w:p>
    <w:p>
      <w:pPr>
        <w:pStyle w:val="HSTitle"/>
      </w:pPr>
      <w:r>
        <w:t>New Koliganek Village Council -- AK</w:t>
      </w:r>
    </w:p>
    <w:p>
      <w:pPr>
        <w:pStyle w:val="HSBody"/>
      </w:pPr>
      <w:r>
        <w:t>This strategy document outlines New Koliganek Village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$2,255,525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Koliganek Village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New Koliganek Village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New Koliganek Village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Koliganek Village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New Koliganek Village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2020-01-01 - 2023-12-31</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2024-01-01 - 2026-12-31</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New Koliganek Village Council generated an estimated $1,615,363-$2,153,818 in regional economic activity (BEA RIMS II methodology, output multiplier range 1.8-2.4x), supporting approximately 7-13 jobs (BLS employment requirements methodology).</w:t>
      </w:r>
    </w:p>
    <w:p>
      <w:pPr>
        <w:pStyle w:val="HSBody"/>
      </w:pPr>
      <w:r>
        <w:t>Hazard Alignment: New Koliganek Village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EPA GAP funding to New Koliganek Village Council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New Koliganek Village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New Koliganek Village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New Koliganek Village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Koliganek Village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Koliganek Village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New Koliganek Village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New Koliganek Village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New Koliganek Village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New Koliganek Village Council's advocacy engagements during the current congressional session.</w:t>
      </w:r>
    </w:p>
    <w:p>
      <w:pPr>
        <w:pStyle w:val="HSSection"/>
      </w:pPr>
      <w:r>
        <w:t>Core Message</w:t>
      </w:r>
    </w:p>
    <w:p>
      <w:pPr>
        <w:pStyle w:val="HSBody"/>
      </w:pPr>
      <w:r>
        <w:t>New Koliganek Village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New Koliganek Village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New Koliganek Village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