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Point Hope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Point Hope's climate risk profile and geographic context.</w:t>
      </w:r>
    </w:p>
    <w:p>
      <w:r>
        <w:br w:type="page"/>
      </w:r>
    </w:p>
    <w:p>
      <w:pPr>
        <w:pStyle w:val="Heading2"/>
      </w:pPr>
      <w:r>
        <w:t>Executive Summary</w:t>
      </w:r>
    </w:p>
    <w:p>
      <w:pPr>
        <w:pStyle w:val="HSTitle"/>
      </w:pPr>
      <w:r>
        <w:t>Native Village of Point Hope -- AK</w:t>
      </w:r>
    </w:p>
    <w:p>
      <w:pPr>
        <w:pStyle w:val="HSBody"/>
      </w:pPr>
      <w:r>
        <w:t>This strategy document outlines Native Village of Point Hope's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$10,518,471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Point Hope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w:t>
            </w:r>
          </w:p>
        </w:tc>
        <w:tc>
          <w:tcPr>
            <w:tcW w:type="dxa" w:w="2340"/>
            <w:shd w:fill="F2F2F2" w:val="clear"/>
          </w:tcPr>
          <w:p>
            <w:r>
              <w:t>2025-09-01 - 2028-12-31</w:t>
            </w:r>
          </w:p>
        </w:tc>
      </w:tr>
    </w:tbl>
    <w:p>
      <w:pPr>
        <w:pStyle w:val="HSBody"/>
      </w:pPr>
      <w:r>
        <w:rPr>
          <w:b/>
        </w:rPr>
        <w:t>Total: $400,000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Point Hope generated an estimated $720,000-$960,000 in regional economic activity (BEA RIMS II methodology, output multiplier range 1.8-2.4x), supporting approximately 3-6 jobs (BLS employment requirements methodology).</w:t>
      </w:r>
    </w:p>
    <w:p>
      <w:pPr>
        <w:pStyle w:val="HSBody"/>
      </w:pPr>
      <w:r>
        <w:t>Hazard Alignment: Native Village of Point Hope's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BIA Tribal Climate Resilience funding to Native Village of Point Hope generated an estimated $720,000-$960,000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Point Hope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Point Hope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Point Hope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$134,000</w:t>
            </w:r>
          </w:p>
        </w:tc>
        <w:tc>
          <w:tcPr>
            <w:tcW w:type="dxa" w:w="2340"/>
            <w:shd w:fill="F2F2F2" w:val="clear"/>
          </w:tcPr>
          <w:p>
            <w:r>
              <w:t>2024-10-01 - 2026-09-30</w:t>
            </w:r>
          </w:p>
        </w:tc>
      </w:tr>
    </w:tbl>
    <w:p>
      <w:pPr>
        <w:pStyle w:val="HSBody"/>
      </w:pPr>
      <w:r>
        <w:rPr>
          <w:b/>
        </w:rPr>
        <w:t>Total: $134,000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Point Hope generated an estimated $241,200-$321,600 in regional economic activity (BEA RIMS II methodology, output multiplier range 1.8-2.4x), supporting approximately 1-2 jobs (BLS employment requirements methodology).</w:t>
      </w:r>
    </w:p>
    <w:p>
      <w:pPr>
        <w:pStyle w:val="HSBody"/>
      </w:pPr>
      <w:r>
        <w:t>Hazard Alignment: Native Village of Point Hope's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EPA GAP funding to Native Village of Point Hope generated an estimated $241,200-$321,600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Point Hope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Point Hope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$6,808,776</w:t>
            </w:r>
          </w:p>
        </w:tc>
        <w:tc>
          <w:tcPr>
            <w:tcW w:type="dxa" w:w="2340"/>
            <w:shd w:fill="F2F2F2" w:val="clear"/>
          </w:tcPr>
          <w:p>
            <w:r>
              <w:t>2012-02-17 - 2034-09-30</w:t>
            </w:r>
          </w:p>
        </w:tc>
      </w:tr>
    </w:tbl>
    <w:p>
      <w:pPr>
        <w:pStyle w:val="HSBody"/>
      </w:pPr>
      <w:r>
        <w:rPr>
          <w:b/>
        </w:rPr>
        <w:t>Total: $6,808,776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Point Hope generated an estimated $12,255,797-$16,341,062 in regional economic activity (BEA RIMS II methodology, output multiplier range 1.8-2.4x), supporting approximately 54-102 jobs (BLS employment requirements methodology).</w:t>
      </w:r>
    </w:p>
    <w:p>
      <w:pPr>
        <w:pStyle w:val="HSBody"/>
      </w:pPr>
      <w:r>
        <w:t>Hazard Alignment: Native Village of Point Hope's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HUD IHBG funding to Native Village of Point Hope generated an estimated $12,255,797-$16,341,062 in regional economic activity (BEA RIMS II methodology, output multiplier range 1.8-2.4x), supporting approximately 54-102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Point Hope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Point Hope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Point Hope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Point Hope's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Point Hope's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Point Hope's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Point Hope.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Point Hope's advocacy engagements during the current congressional session.</w:t>
      </w:r>
    </w:p>
    <w:p>
      <w:pPr>
        <w:pStyle w:val="HSSection"/>
      </w:pPr>
      <w:r>
        <w:t>Core Message</w:t>
      </w:r>
    </w:p>
    <w:p>
      <w:pPr>
        <w:pStyle w:val="HSBody"/>
      </w:pPr>
      <w:r>
        <w:t>Native Village of Point Hope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Point Hope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Point Hope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