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Scammon Bay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Scammon Bay's climate risk profile and geographic context.</w:t>
      </w:r>
    </w:p>
    <w:p>
      <w:r>
        <w:br w:type="page"/>
      </w:r>
    </w:p>
    <w:p>
      <w:pPr>
        <w:pStyle w:val="Heading2"/>
      </w:pPr>
      <w:r>
        <w:t>Executive Summary</w:t>
      </w:r>
    </w:p>
    <w:p>
      <w:pPr>
        <w:pStyle w:val="HSTitle"/>
      </w:pPr>
      <w:r>
        <w:t>Native Village of Scammon Bay -- AK</w:t>
      </w:r>
    </w:p>
    <w:p>
      <w:pPr>
        <w:pStyle w:val="HSBody"/>
      </w:pPr>
      <w:r>
        <w:t>This strategy document outlines Native Village of Scammon Bay's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$518,000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Scammon Bay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Scammon Bay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Scammon Bay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Scammon Bay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Scammon Bay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$250,000</w:t>
            </w:r>
          </w:p>
        </w:tc>
        <w:tc>
          <w:tcPr>
            <w:tcW w:type="dxa" w:w="2340"/>
            <w:shd w:fill="F2F2F2" w:val="clear"/>
          </w:tcPr>
          <w:p>
            <w:r>
              <w:t>2020-10-01 - 2023-09-30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$518,000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Scammon Bay generated an estimated $932,400-$1,243,200 in regional economic activity (BEA RIMS II methodology, output multiplier range 1.8-2.4x), supporting approximately 4-8 jobs (BLS employment requirements methodology).</w:t>
      </w:r>
    </w:p>
    <w:p>
      <w:pPr>
        <w:pStyle w:val="HSBody"/>
      </w:pPr>
      <w:r>
        <w:t>Hazard Alignment: Native Village of Scammon Bay's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EPA GAP funding to Native Village of Scammon Bay generated an estimated $932,400-$1,243,200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Scammon Bay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Scammon Bay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Scammon Bay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Scammon Bay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Scammon Bay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Scammon Bay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Scammon Bay's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Scammon Bay's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Scammon Bay's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Scammon Bay.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Scammon Bay's advocacy engagements during the current congressional session.</w:t>
      </w:r>
    </w:p>
    <w:p>
      <w:pPr>
        <w:pStyle w:val="HSSection"/>
      </w:pPr>
      <w:r>
        <w:t>Core Message</w:t>
      </w:r>
    </w:p>
    <w:p>
      <w:pPr>
        <w:pStyle w:val="HSBody"/>
      </w:pPr>
      <w:r>
        <w:t>Native Village of Scammon Bay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Scammon Bay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Scammon Bay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