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Stebbins Community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Stebbins Community Association's climate risk profile and geographic context.</w:t>
      </w:r>
    </w:p>
    <w:p>
      <w:r>
        <w:br w:type="page"/>
      </w:r>
    </w:p>
    <w:p>
      <w:pPr>
        <w:pStyle w:val="Heading2"/>
      </w:pPr>
      <w:r>
        <w:t>Executive Summary</w:t>
      </w:r>
    </w:p>
    <w:p>
      <w:pPr>
        <w:pStyle w:val="HSTitle"/>
      </w:pPr>
      <w:r>
        <w:t>Stebbins Community Association -- AK</w:t>
      </w:r>
    </w:p>
    <w:p>
      <w:pPr>
        <w:pStyle w:val="HSBody"/>
      </w:pPr>
      <w:r>
        <w:t>This strategy document outlines Stebbins Community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$6,590,232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Stebbins Community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Stebbins Community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Stebbins Community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$124,310</w:t>
            </w:r>
          </w:p>
        </w:tc>
        <w:tc>
          <w:tcPr>
            <w:tcW w:type="dxa" w:w="2340"/>
            <w:shd w:fill="F2F2F2" w:val="clear"/>
          </w:tcPr>
          <w:p>
            <w:r>
              <w:t>2021-10-01 - 2023-03-31</w:t>
            </w:r>
          </w:p>
        </w:tc>
      </w:tr>
      <w:tr>
        <w:tc>
          <w:tcPr>
            <w:tcW w:type="dxa" w:w="2340"/>
            <w:shd w:fill="FFFFFF" w:val="clear"/>
          </w:tcPr>
          <w:p>
            <w:r>
              <w:t>epa_gap</w:t>
            </w:r>
          </w:p>
        </w:tc>
        <w:tc>
          <w:tcPr>
            <w:tcW w:type="dxa" w:w="2340"/>
            <w:shd w:fill="FFFFFF" w:val="clear"/>
          </w:tcPr>
          <w:p>
            <w:r>
              <w:t>66.926</w:t>
            </w:r>
          </w:p>
        </w:tc>
        <w:tc>
          <w:tcPr>
            <w:tcW w:type="dxa" w:w="2340"/>
            <w:shd w:fill="FFFFFF" w:val="clear"/>
          </w:tcPr>
          <w:p>
            <w:r>
              <w:t>$389,889</w:t>
            </w:r>
          </w:p>
        </w:tc>
        <w:tc>
          <w:tcPr>
            <w:tcW w:type="dxa" w:w="2340"/>
            <w:shd w:fill="FFFFFF" w:val="clear"/>
          </w:tcPr>
          <w:p>
            <w:r>
              <w:t>2023-10-01 - 2026-09-30</w:t>
            </w:r>
          </w:p>
        </w:tc>
      </w:tr>
    </w:tbl>
    <w:p>
      <w:pPr>
        <w:pStyle w:val="HSBody"/>
      </w:pPr>
      <w:r>
        <w:rPr>
          <w:b/>
        </w:rPr>
        <w:t>Total: $514,199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Stebbins Community Association generated an estimated $925,558-$1,234,078 in regional economic activity (BEA RIMS II methodology, output multiplier range 1.8-2.4x), supporting approximately 4-8 jobs (BLS employment requirements methodology).</w:t>
      </w:r>
    </w:p>
    <w:p>
      <w:pPr>
        <w:pStyle w:val="HSBody"/>
      </w:pPr>
      <w:r>
        <w:t>Hazard Alignment: Stebbins Community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EPA GAP funding to Stebbins Community Association generated an estimated $925,558-$1,234,078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Stebbins Community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Stebbins Community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$6,076,033</w:t>
            </w:r>
          </w:p>
        </w:tc>
        <w:tc>
          <w:tcPr>
            <w:tcW w:type="dxa" w:w="2340"/>
            <w:shd w:fill="F2F2F2" w:val="clear"/>
          </w:tcPr>
          <w:p>
            <w:r>
              <w:t>2012-03-30 - 2034-09-30</w:t>
            </w:r>
          </w:p>
        </w:tc>
      </w:tr>
    </w:tbl>
    <w:p>
      <w:pPr>
        <w:pStyle w:val="HSBody"/>
      </w:pPr>
      <w:r>
        <w:rPr>
          <w:b/>
        </w:rPr>
        <w:t>Total: $6,076,033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Stebbins Community Association generated an estimated $10,936,859-$14,582,479 in regional economic activity (BEA RIMS II methodology, output multiplier range 1.8-2.4x), supporting approximately 49-91 jobs (BLS employment requirements methodology).</w:t>
      </w:r>
    </w:p>
    <w:p>
      <w:pPr>
        <w:pStyle w:val="HSBody"/>
      </w:pPr>
      <w:r>
        <w:t>Hazard Alignment: Stebbins Community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HUD IHBG funding to Stebbins Community Association generated an estimated $10,936,859-$14,582,479 in regional economic activity (BEA RIMS II methodology, output multiplier range 1.8-2.4x), supporting approximately 49-91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Stebbins Community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Stebbins Community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Stebbins Community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Stebbins Community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Stebbins Community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Stebbins Community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Stebbins Community Association's advocacy engagements during the current congressional session.</w:t>
      </w:r>
    </w:p>
    <w:p>
      <w:pPr>
        <w:pStyle w:val="HSSection"/>
      </w:pPr>
      <w:r>
        <w:t>Core Message</w:t>
      </w:r>
    </w:p>
    <w:p>
      <w:pPr>
        <w:pStyle w:val="HSBody"/>
      </w:pPr>
      <w:r>
        <w:t>Stebbins Community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Stebbins Community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Stebbins Community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