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Tangirnaq Native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Tangirnaq Native Village's climate risk profile and geographic context.</w:t>
      </w:r>
    </w:p>
    <w:p>
      <w:r>
        <w:br w:type="page"/>
      </w:r>
    </w:p>
    <w:p>
      <w:pPr>
        <w:pStyle w:val="Heading2"/>
      </w:pPr>
      <w:r>
        <w:t>Executive Summary</w:t>
      </w:r>
    </w:p>
    <w:p>
      <w:pPr>
        <w:pStyle w:val="HSTitle"/>
      </w:pPr>
      <w:r>
        <w:t>Tangirnaq Native Village -- AK</w:t>
      </w:r>
    </w:p>
    <w:p>
      <w:pPr>
        <w:pStyle w:val="HSBody"/>
      </w:pPr>
      <w:r>
        <w:t>This strategy document outlines Tangirnaq Native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$65,486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Tangirnaq Native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Tangirnaq Native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Tangirnaq Native Village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Tangirnaq Native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Tangirnaq Native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Tangirnaq Native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Tangirnaq Native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Tangirnaq Native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Tangirnaq Native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Tangirnaq Native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Tangirnaq Native Village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Tangirnaq Native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Tangirnaq Native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Tangirnaq Native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Tangirnaq Native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Tangirnaq Native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Tangirnaq Native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Tangirnaq Native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Tangirnaq Native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Tangirnaq Native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Tangirnaq Native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Tangirnaq Native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Tangirnaq Native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Tangirnaq Native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Tangirnaq Native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Tangirnaq Native Village's advocacy engagements during the current congressional session.</w:t>
      </w:r>
    </w:p>
    <w:p>
      <w:pPr>
        <w:pStyle w:val="HSSection"/>
      </w:pPr>
      <w:r>
        <w:t>Core Message</w:t>
      </w:r>
    </w:p>
    <w:p>
      <w:pPr>
        <w:pStyle w:val="HSBody"/>
      </w:pPr>
      <w:r>
        <w:t>Tangirnaq Native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Tangirnaq Native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Tangirnaq Native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