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Tazlina</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Tazlina's climate risk profile and geographic context.</w:t>
      </w:r>
    </w:p>
    <w:p>
      <w:r>
        <w:br w:type="page"/>
      </w:r>
    </w:p>
    <w:p>
      <w:pPr>
        <w:pStyle w:val="Heading2"/>
      </w:pPr>
      <w:r>
        <w:t>Executive Summary</w:t>
      </w:r>
    </w:p>
    <w:p>
      <w:pPr>
        <w:pStyle w:val="HSTitle"/>
      </w:pPr>
      <w:r>
        <w:t>Native Village of Tazlina -- AK</w:t>
      </w:r>
    </w:p>
    <w:p>
      <w:pPr>
        <w:pStyle w:val="HSBody"/>
      </w:pPr>
      <w:r>
        <w:t>This strategy document outlines Native Village of Tazlina's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$2,078,348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Tazlina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Tazlina's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Tazlina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Tazlina's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Tazlina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Tazlina's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Tazlina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Tazlina's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Tazlina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Tazlina's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$499,387</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2024-10-01 - 2027-09-30</w:t>
            </w:r>
          </w:p>
        </w:tc>
      </w:tr>
    </w:tbl>
    <w:p>
      <w:pPr>
        <w:pStyle w:val="HSBody"/>
      </w:pPr>
      <w:r>
        <w:rPr>
          <w:b/>
        </w:rPr>
        <w:t>Total: $767,387</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Tazlina generated an estimated $1,381,297-$1,841,729 in regional economic activity (BEA RIMS II methodology, output multiplier range 1.8-2.4x), supporting approximately 6-12 jobs (BLS employment requirements methodology).</w:t>
      </w:r>
    </w:p>
    <w:p>
      <w:pPr>
        <w:pStyle w:val="HSBody"/>
      </w:pPr>
      <w:r>
        <w:t>Hazard Alignment: Native Village of Tazlina's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EPA GAP funding to Native Village of Tazlina generated an estimated $1,381,297-$1,841,729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Tazlina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Tazlina's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Tazlina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Tazlina's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Tazlina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Tazlina's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Tazlina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Tazlina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Tazlina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Tazlina's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Tazlina's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Tazlina's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Tazlina.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Tazlina's advocacy engagements during the current congressional session.</w:t>
      </w:r>
    </w:p>
    <w:p>
      <w:pPr>
        <w:pStyle w:val="HSSection"/>
      </w:pPr>
      <w:r>
        <w:t>Core Message</w:t>
      </w:r>
    </w:p>
    <w:p>
      <w:pPr>
        <w:pStyle w:val="HSBody"/>
      </w:pPr>
      <w:r>
        <w:t>Native Village of Tazlina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Tazlina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Tazlina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