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Duckwater Shoshone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Duckwater Shoshone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Duckwater Shoshone Tribe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Total Federal Climate Resilience Funding: $16,948,872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Steven Horsford (D-NV-04)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Duckwater Shoshone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Duckwater Shoshone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Duckwater Shoshone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Duckwater Shoshone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Duckwater Shoshone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$646,624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$334,960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$981,584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Duckwater Shoshone Tribe generated an estimated $1,766,851-$2,355,802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EPA GAP funding to Duckwater Shoshone Tribe generated an estimated $1,766,851-$2,355,802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Duckwater Shoshone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$8,871,225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$8,871,225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Duckwater Shoshone Tribe generated an estimated $15,968,205-$21,290,940 in regional economic activity (BEA RIMS II methodology, output multiplier range 1.8-2.4x), supporting approximately 71-133 jobs (BLS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Duckwater Shoshone Tribe generated an estimated $15,968,205-$21,290,940 in regional economic activity (BEA RIMS II methodology, output multiplier range 1.8-2.4x), supporting approximately 71-133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Duckwater Shoshone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Duckwater Shoshone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Duckwater Shoshone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Duckwater Shoshone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Duckwater Shoshone Tribe's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Duckwater Shoshone Tribe's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Duckwater Shoshone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Duckwater Shoshone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Duckwater Shoshone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