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Fort McDermitt Paiute and Shoshone Tribes of the Fort McDermitt Indian Reservation, Nevada and Oregon</w:t>
      </w:r>
    </w:p>
    <w:p>
      <w:pPr>
        <w:pStyle w:val="HSBody"/>
      </w:pPr>
      <w:r>
        <w:t>Prepared for the offices of: 4 Senators, 2 Representatives</w:t>
      </w:r>
    </w:p>
    <w:p>
      <w:pPr>
        <w:pStyle w:val="HSBody"/>
      </w:pPr>
      <w:r>
        <w:t>State(s): NV, OR</w:t>
      </w:r>
    </w:p>
    <w:p>
      <w:pPr>
        <w:pStyle w:val="HSBody"/>
      </w:pPr>
      <w:r>
        <w:t>Ecoregion(s): pacific_northwest,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Fort McDermitt Paiute and Shoshone Tribes of the Fort McDermitt Indian Reservation, Nevada and Oregon's climate risk profile and geographic context.</w:t>
      </w:r>
    </w:p>
    <w:p>
      <w:r>
        <w:br w:type="page"/>
      </w:r>
    </w:p>
    <w:p>
      <w:pPr>
        <w:pStyle w:val="Heading2"/>
      </w:pPr>
      <w:r>
        <w:t>Executive Summary</w:t>
      </w:r>
    </w:p>
    <w:p>
      <w:pPr>
        <w:pStyle w:val="HSTitle"/>
      </w:pPr>
      <w:r>
        <w:t>Fort McDermitt Paiute and Shoshone Tribes of the Fort McDermitt Indian Reservation, Nevada and Oregon -- NV, OR</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Cliff Bentz (R-OR-02)</w:t>
            </w:r>
          </w:p>
        </w:tc>
        <w:tc>
          <w:tcPr>
            <w:tcW w:type="dxa" w:w="1872"/>
            <w:shd w:fill="F2F2F2" w:val="clear"/>
          </w:tcPr>
          <w:p>
            <w:r>
              <w:t>Representative</w:t>
            </w:r>
          </w:p>
        </w:tc>
        <w:tc>
          <w:tcPr>
            <w:tcW w:type="dxa" w:w="1872"/>
            <w:shd w:fill="F2F2F2" w:val="clear"/>
          </w:tcPr>
          <w:p>
            <w:r>
              <w:t>OR</w:t>
            </w:r>
          </w:p>
        </w:tc>
        <w:tc>
          <w:tcPr>
            <w:tcW w:type="dxa" w:w="1872"/>
            <w:shd w:fill="F2F2F2" w:val="clear"/>
          </w:tcPr>
          <w:p>
            <w:r>
              <w:t>2</w:t>
            </w:r>
          </w:p>
        </w:tc>
        <w:tc>
          <w:tcPr>
            <w:tcW w:type="dxa" w:w="1872"/>
            <w:shd w:fill="F2F2F2" w:val="clear"/>
          </w:tcPr>
          <w:p>
            <w:r>
              <w:t>House Committee on Natural Resources</w:t>
            </w:r>
          </w:p>
        </w:tc>
      </w:tr>
      <w:tr>
        <w:tc>
          <w:tcPr>
            <w:tcW w:type="dxa" w:w="1872"/>
            <w:shd w:fill="FFFFFF" w:val="clear"/>
          </w:tcPr>
          <w:p>
            <w:r>
              <w:t>Rep. Mark E. Amodei (R-NV-02)</w:t>
            </w:r>
          </w:p>
        </w:tc>
        <w:tc>
          <w:tcPr>
            <w:tcW w:type="dxa" w:w="1872"/>
            <w:shd w:fill="FFFFFF" w:val="clear"/>
          </w:tcPr>
          <w:p>
            <w:r>
              <w:t>Representative</w:t>
            </w:r>
          </w:p>
        </w:tc>
        <w:tc>
          <w:tcPr>
            <w:tcW w:type="dxa" w:w="1872"/>
            <w:shd w:fill="FFFFFF" w:val="clear"/>
          </w:tcPr>
          <w:p>
            <w:r>
              <w:t>NV</w:t>
            </w:r>
          </w:p>
        </w:tc>
        <w:tc>
          <w:tcPr>
            <w:tcW w:type="dxa" w:w="1872"/>
            <w:shd w:fill="FFFFFF" w:val="clear"/>
          </w:tcPr>
          <w:p>
            <w:r>
              <w:t>2</w:t>
            </w:r>
          </w:p>
        </w:tc>
        <w:tc>
          <w:tcPr>
            <w:tcW w:type="dxa" w:w="1872"/>
            <w:shd w:fill="FFFFFF" w:val="clear"/>
          </w:tcPr>
          <w:p>
            <w:r>
              <w:t>House Committee on Natural Resources; House Committee on Appropriations; Interior, Environment, and Related Agencies</w:t>
            </w:r>
          </w:p>
        </w:tc>
      </w:tr>
    </w:tbl>
    <w:p>
      <w:pPr>
        <w:pStyle w:val="HSBody"/>
      </w:pPr>
      <w:r>
        <w:t>6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FEMA BRIC.</w:t>
      </w:r>
    </w:p>
    <w:p>
      <w:pPr>
        <w:pStyle w:val="HSBody"/>
      </w:pPr>
      <w:r>
        <w:t>Per-District Impact Allocation:</w:t>
      </w:r>
    </w:p>
    <w:p>
      <w:pPr>
        <w:pStyle w:val="HSBody"/>
      </w:pPr>
      <w:r>
        <w:t xml:space="preserve">  OR-02 (52% overlap): $468,000 - $624,000</w:t>
      </w:r>
    </w:p>
    <w:p>
      <w:pPr>
        <w:pStyle w:val="HSBody"/>
      </w:pPr>
      <w:r>
        <w:t xml:space="preserve">  NV-02 (48% overlap): $432,000 - $576,000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BIA Tribal Climate Resilience.</w:t>
      </w:r>
    </w:p>
    <w:p>
      <w:pPr>
        <w:pStyle w:val="HSBody"/>
      </w:pPr>
      <w:r>
        <w:t>Per-District Impact Allocation:</w:t>
      </w:r>
    </w:p>
    <w:p>
      <w:pPr>
        <w:pStyle w:val="HSBody"/>
      </w:pPr>
      <w:r>
        <w:t xml:space="preserve">  OR-02 (52% overlap): $140,400 - $187,200</w:t>
      </w:r>
    </w:p>
    <w:p>
      <w:pPr>
        <w:pStyle w:val="HSBody"/>
      </w:pPr>
      <w:r>
        <w:t xml:space="preserve">  NV-02 (48% overlap): $129,600 - $172,800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IRS Elective Pay.</w:t>
      </w:r>
    </w:p>
    <w:p>
      <w:pPr>
        <w:pStyle w:val="HSBody"/>
      </w:pPr>
      <w:r>
        <w:t>Per-District Impact Allocation:</w:t>
      </w:r>
    </w:p>
    <w:p>
      <w:pPr>
        <w:pStyle w:val="HSBody"/>
      </w:pPr>
      <w:r>
        <w:t xml:space="preserve">  OR-02 (52% overlap): $187,200 - $249,600</w:t>
      </w:r>
    </w:p>
    <w:p>
      <w:pPr>
        <w:pStyle w:val="HSBody"/>
      </w:pPr>
      <w:r>
        <w:t xml:space="preserve">  NV-02 (48% overlap): $172,800 - $230,400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FEMA Tribal Mitigation Plans.</w:t>
      </w:r>
    </w:p>
    <w:p>
      <w:pPr>
        <w:pStyle w:val="HSBody"/>
      </w:pPr>
      <w:r>
        <w:t>Per-District Impact Allocation:</w:t>
      </w:r>
    </w:p>
    <w:p>
      <w:pPr>
        <w:pStyle w:val="HSBody"/>
      </w:pPr>
      <w:r>
        <w:t xml:space="preserve">  OR-02 (52% overlap): $280,800 - $374,400</w:t>
      </w:r>
    </w:p>
    <w:p>
      <w:pPr>
        <w:pStyle w:val="HSBody"/>
      </w:pPr>
      <w:r>
        <w:t xml:space="preserve">  NV-02 (48% overlap): $259,200 - $345,600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USDA Wildfire Defense Grants.</w:t>
      </w:r>
    </w:p>
    <w:p>
      <w:pPr>
        <w:pStyle w:val="HSBody"/>
      </w:pPr>
      <w:r>
        <w:t>Per-District Impact Allocation:</w:t>
      </w:r>
    </w:p>
    <w:p>
      <w:pPr>
        <w:pStyle w:val="HSBody"/>
      </w:pPr>
      <w:r>
        <w:t xml:space="preserve">  OR-02 (52% overlap): $327,600 - $436,800</w:t>
      </w:r>
    </w:p>
    <w:p>
      <w:pPr>
        <w:pStyle w:val="HSBody"/>
      </w:pPr>
      <w:r>
        <w:t xml:space="preserve">  NV-02 (48% overlap): $302,400 - $403,200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EPA GAP.</w:t>
      </w:r>
    </w:p>
    <w:p>
      <w:pPr>
        <w:pStyle w:val="HSBody"/>
      </w:pPr>
      <w:r>
        <w:t>Per-District Impact Allocation:</w:t>
      </w:r>
    </w:p>
    <w:p>
      <w:pPr>
        <w:pStyle w:val="HSBody"/>
      </w:pPr>
      <w:r>
        <w:t xml:space="preserve">  OR-02 (52% overlap): $70,200 - $93,600</w:t>
      </w:r>
    </w:p>
    <w:p>
      <w:pPr>
        <w:pStyle w:val="HSBody"/>
      </w:pPr>
      <w:r>
        <w:t xml:space="preserve">  NV-02 (48% overlap): $64,800 - $86,400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DOT PROTECT.</w:t>
      </w:r>
    </w:p>
    <w:p>
      <w:pPr>
        <w:pStyle w:val="HSBody"/>
      </w:pPr>
      <w:r>
        <w:t>Per-District Impact Allocation:</w:t>
      </w:r>
    </w:p>
    <w:p>
      <w:pPr>
        <w:pStyle w:val="HSBody"/>
      </w:pPr>
      <w:r>
        <w:t xml:space="preserve">  OR-02 (52% overlap): $234,000 - $312,000</w:t>
      </w:r>
    </w:p>
    <w:p>
      <w:pPr>
        <w:pStyle w:val="HSBody"/>
      </w:pPr>
      <w:r>
        <w:t xml:space="preserve">  NV-02 (48% overlap): $216,000 - $288,000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HUD IHBG.</w:t>
      </w:r>
    </w:p>
    <w:p>
      <w:pPr>
        <w:pStyle w:val="HSBody"/>
      </w:pPr>
      <w:r>
        <w:t>Per-District Impact Allocation:</w:t>
      </w:r>
    </w:p>
    <w:p>
      <w:pPr>
        <w:pStyle w:val="HSBody"/>
      </w:pPr>
      <w:r>
        <w:t xml:space="preserve">  OR-02 (52% overlap): $374,400 - $499,200</w:t>
      </w:r>
    </w:p>
    <w:p>
      <w:pPr>
        <w:pStyle w:val="HSBody"/>
      </w:pPr>
      <w:r>
        <w:t xml:space="preserve">  NV-02 (48% overlap): $345,600 - $460,800</w:t>
      </w:r>
    </w:p>
    <w:p>
      <w:pPr>
        <w:pStyle w:val="HSSection"/>
      </w:pPr>
      <w:r>
        <w:t>Key Ask</w:t>
      </w:r>
    </w:p>
    <w:p>
      <w:pPr>
        <w:pStyle w:val="HSCallout"/>
        <w:shd w:fill="EEF2FF" w:val="clear"/>
      </w:pPr>
      <w:r>
        <w:t>ASK: HUD Indian Housing Block Grant program under NAHASDA.</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NOAA Tribal Grants.</w:t>
      </w:r>
    </w:p>
    <w:p>
      <w:pPr>
        <w:pStyle w:val="HSBody"/>
      </w:pPr>
      <w:r>
        <w:t>Per-District Impact Allocation:</w:t>
      </w:r>
    </w:p>
    <w:p>
      <w:pPr>
        <w:pStyle w:val="HSBody"/>
      </w:pPr>
      <w:r>
        <w:t xml:space="preserve">  OR-02 (52% overlap): $140,400 - $187,200</w:t>
      </w:r>
    </w:p>
    <w:p>
      <w:pPr>
        <w:pStyle w:val="HSBody"/>
      </w:pPr>
      <w:r>
        <w:t xml:space="preserve">  NV-02 (48% overlap): $129,600 - $172,800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EPA STAG.</w:t>
      </w:r>
    </w:p>
    <w:p>
      <w:pPr>
        <w:pStyle w:val="HSBody"/>
      </w:pPr>
      <w:r>
        <w:t>Per-District Impact Allocation:</w:t>
      </w:r>
    </w:p>
    <w:p>
      <w:pPr>
        <w:pStyle w:val="HSBody"/>
      </w:pPr>
      <w:r>
        <w:t xml:space="preserve">  OR-02 (52% overlap): $93,600 - $124,800</w:t>
      </w:r>
    </w:p>
    <w:p>
      <w:pPr>
        <w:pStyle w:val="HSBody"/>
      </w:pPr>
      <w:r>
        <w:t xml:space="preserve">  NV-02 (48% overlap): $86,400 - $115,200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DOE Indian Energy.</w:t>
      </w:r>
    </w:p>
    <w:p>
      <w:pPr>
        <w:pStyle w:val="HSBody"/>
      </w:pPr>
      <w:r>
        <w:t>Per-District Impact Allocation:</w:t>
      </w:r>
    </w:p>
    <w:p>
      <w:pPr>
        <w:pStyle w:val="HSBody"/>
      </w:pPr>
      <w:r>
        <w:t xml:space="preserve">  OR-02 (52% overlap): $187,200 - $249,600</w:t>
      </w:r>
    </w:p>
    <w:p>
      <w:pPr>
        <w:pStyle w:val="HSBody"/>
      </w:pPr>
      <w:r>
        <w:t xml:space="preserve">  NV-02 (48% overlap): $172,800 - $230,400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Fort McDermitt Paiute and Shoshone Tribes of the Fort McDermitt Indian Reservation, Nevada and Oregon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80.9 -- (Very High)</w:t>
      </w:r>
    </w:p>
    <w:p>
      <w:pPr>
        <w:pStyle w:val="HSBody"/>
      </w:pPr>
      <w:r>
        <w:t>Earthquake -- Risk Score: 79.5 -- (Relatively High)</w:t>
      </w:r>
    </w:p>
    <w:p>
      <w:pPr>
        <w:pStyle w:val="HSBody"/>
      </w:pPr>
      <w:r>
        <w:t>Landslide -- Risk Score: 72.0 --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Fort McDermitt Paiute and Shoshone Tribes of the Fort McDermitt Indian Reservation, Nevada and Oregon's wildfire risk profile reinforces the economic case for continued federal investment in Tribal Community Resilience Annual Awards.</w:t>
      </w:r>
    </w:p>
    <w:p>
      <w:pPr>
        <w:pStyle w:val="HSBody"/>
      </w:pPr>
      <w:r>
        <w:t>Per-District Impact Allocation:</w:t>
      </w:r>
    </w:p>
    <w:p>
      <w:pPr>
        <w:pStyle w:val="HSBody"/>
      </w:pPr>
      <w:r>
        <w:t xml:space="preserve">  OR-02 (52% overlap): $93,600 - $124,800</w:t>
      </w:r>
    </w:p>
    <w:p>
      <w:pPr>
        <w:pStyle w:val="HSBody"/>
      </w:pPr>
      <w:r>
        <w:t xml:space="preserve">  NV-02 (48% overlap): $86,400 - $115,200</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Fort McDermitt Paiute and Shoshone Tribes of the Fort McDermitt Indian Reservation, Nevada and Oregon's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57.9)</w:t>
      </w:r>
    </w:p>
    <w:p>
      <w:pPr>
        <w:pStyle w:val="HSBody"/>
      </w:pPr>
      <w:r>
        <w:t>Social Vulnerability: Relatively Moderate (Score: 47.0)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80.9</w:t>
            </w:r>
          </w:p>
        </w:tc>
        <w:tc>
          <w:tcPr>
            <w:tcW w:type="dxa" w:w="2340"/>
            <w:shd w:fill="F2F2F2" w:val="clear"/>
          </w:tcPr>
          <w:p>
            <w:r>
              <w:t>Very High</w:t>
            </w:r>
          </w:p>
        </w:tc>
        <w:tc>
          <w:tcPr>
            <w:tcW w:type="dxa" w:w="2340"/>
            <w:shd w:fill="F2F2F2" w:val="clear"/>
          </w:tcPr>
          <w:p>
            <w:r>
              <w:t>$5,337,611</w:t>
            </w:r>
          </w:p>
        </w:tc>
      </w:tr>
      <w:tr>
        <w:tc>
          <w:tcPr>
            <w:tcW w:type="dxa" w:w="2340"/>
            <w:shd w:fill="FFFFFF" w:val="clear"/>
          </w:tcPr>
          <w:p>
            <w:r>
              <w:t>Earthquake</w:t>
            </w:r>
          </w:p>
        </w:tc>
        <w:tc>
          <w:tcPr>
            <w:tcW w:type="dxa" w:w="2340"/>
            <w:shd w:fill="FFFFFF" w:val="clear"/>
          </w:tcPr>
          <w:p>
            <w:r>
              <w:t>79.5</w:t>
            </w:r>
          </w:p>
        </w:tc>
        <w:tc>
          <w:tcPr>
            <w:tcW w:type="dxa" w:w="2340"/>
            <w:shd w:fill="FFFFFF" w:val="clear"/>
          </w:tcPr>
          <w:p>
            <w:r>
              <w:t>Relatively High</w:t>
            </w:r>
          </w:p>
        </w:tc>
        <w:tc>
          <w:tcPr>
            <w:tcW w:type="dxa" w:w="2340"/>
            <w:shd w:fill="FFFFFF" w:val="clear"/>
          </w:tcPr>
          <w:p>
            <w:r>
              <w:t>$29,503,374</w:t>
            </w:r>
          </w:p>
        </w:tc>
      </w:tr>
      <w:tr>
        <w:tc>
          <w:tcPr>
            <w:tcW w:type="dxa" w:w="2340"/>
            <w:shd w:fill="F2F2F2" w:val="clear"/>
          </w:tcPr>
          <w:p>
            <w:r>
              <w:t>Landslide</w:t>
            </w:r>
          </w:p>
        </w:tc>
        <w:tc>
          <w:tcPr>
            <w:tcW w:type="dxa" w:w="2340"/>
            <w:shd w:fill="F2F2F2" w:val="clear"/>
          </w:tcPr>
          <w:p>
            <w:r>
              <w:t>72.0</w:t>
            </w:r>
          </w:p>
        </w:tc>
        <w:tc>
          <w:tcPr>
            <w:tcW w:type="dxa" w:w="2340"/>
            <w:shd w:fill="F2F2F2" w:val="clear"/>
          </w:tcPr>
          <w:p>
            <w:r>
              <w:t>Relatively High</w:t>
            </w:r>
          </w:p>
        </w:tc>
        <w:tc>
          <w:tcPr>
            <w:tcW w:type="dxa" w:w="2340"/>
            <w:shd w:fill="F2F2F2" w:val="clear"/>
          </w:tcPr>
          <w:p>
            <w:r>
              <w:t>$46,006</w:t>
            </w:r>
          </w:p>
        </w:tc>
      </w:tr>
      <w:tr>
        <w:tc>
          <w:tcPr>
            <w:tcW w:type="dxa" w:w="2340"/>
            <w:shd w:fill="FFFFFF" w:val="clear"/>
          </w:tcPr>
          <w:p>
            <w:r>
              <w:t>Winter Weather</w:t>
            </w:r>
          </w:p>
        </w:tc>
        <w:tc>
          <w:tcPr>
            <w:tcW w:type="dxa" w:w="2340"/>
            <w:shd w:fill="FFFFFF" w:val="clear"/>
          </w:tcPr>
          <w:p>
            <w:r>
              <w:t>56.6</w:t>
            </w:r>
          </w:p>
        </w:tc>
        <w:tc>
          <w:tcPr>
            <w:tcW w:type="dxa" w:w="2340"/>
            <w:shd w:fill="FFFFFF" w:val="clear"/>
          </w:tcPr>
          <w:p>
            <w:r>
              <w:t>Relatively Moderate</w:t>
            </w:r>
          </w:p>
        </w:tc>
        <w:tc>
          <w:tcPr>
            <w:tcW w:type="dxa" w:w="2340"/>
            <w:shd w:fill="FFFFFF" w:val="clear"/>
          </w:tcPr>
          <w:p>
            <w:r>
              <w:t>$199,159</w:t>
            </w:r>
          </w:p>
        </w:tc>
      </w:tr>
      <w:tr>
        <w:tc>
          <w:tcPr>
            <w:tcW w:type="dxa" w:w="2340"/>
            <w:shd w:fill="F2F2F2" w:val="clear"/>
          </w:tcPr>
          <w:p>
            <w:r>
              <w:t>Inland Flooding</w:t>
            </w:r>
          </w:p>
        </w:tc>
        <w:tc>
          <w:tcPr>
            <w:tcW w:type="dxa" w:w="2340"/>
            <w:shd w:fill="F2F2F2" w:val="clear"/>
          </w:tcPr>
          <w:p>
            <w:r>
              <w:t>56.4</w:t>
            </w:r>
          </w:p>
        </w:tc>
        <w:tc>
          <w:tcPr>
            <w:tcW w:type="dxa" w:w="2340"/>
            <w:shd w:fill="F2F2F2" w:val="clear"/>
          </w:tcPr>
          <w:p>
            <w:r>
              <w:t>Relatively Moderate</w:t>
            </w:r>
          </w:p>
        </w:tc>
        <w:tc>
          <w:tcPr>
            <w:tcW w:type="dxa" w:w="2340"/>
            <w:shd w:fill="F2F2F2" w:val="clear"/>
          </w:tcPr>
          <w:p>
            <w:r>
              <w:t>$25,820,541</w:t>
            </w:r>
          </w:p>
        </w:tc>
      </w:tr>
    </w:tbl>
    <w:p>
      <w:r>
        <w:br w:type="page"/>
      </w:r>
    </w:p>
    <w:p>
      <w:pPr>
        <w:pStyle w:val="Heading2"/>
      </w:pPr>
      <w:r>
        <w:t>Structural Policy Asks</w:t>
      </w:r>
    </w:p>
    <w:p>
      <w:pPr>
        <w:pStyle w:val="HSBody"/>
      </w:pPr>
      <w:r>
        <w:t>The following structural policy changes would advance climate resilience funding for Fort McDermitt Paiute and Shoshone Tribes of the Fort McDermitt Indian Reservation, Nevada and Oregon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Fort McDermitt Paiute and Shoshone Tribes of the Fort McDermitt Indian Reservation, Nevada and Oregon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Fort McDermitt Paiute and Shoshone Tribes of the Fort McDermitt Indian Reservation, Nevada and Oregon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