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Wichita and Affiliated Tribes (Wichita, Keechi, Waco, &amp; Tawakonie),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Wichita and Affiliated Tribes (Wichita, Keechi, Waco, &amp; Tawakonie),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Wichita and Affiliated Tribes (Wichita, Keechi, Waco, &amp; Tawakonie),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$9,600,925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$8,747,484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$318,441</w:t>
            </w:r>
          </w:p>
        </w:tc>
        <w:tc>
          <w:tcPr>
            <w:tcW w:type="dxa" w:w="2340"/>
            <w:shd w:fill="FFFFFF" w:val="clear"/>
          </w:tcPr>
          <w:p>
            <w:r>
              <w:t>2022-01-11 - 2028-09-30</w:t>
            </w:r>
          </w:p>
        </w:tc>
      </w:tr>
    </w:tbl>
    <w:p>
      <w:pPr>
        <w:pStyle w:val="HSBody"/>
      </w:pPr>
      <w:r>
        <w:rPr>
          <w:b/>
        </w:rPr>
        <w:t>Total: $9,065,925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Wichita and Affiliated Tribes (Wichita, Keechi, Waco, &amp; Tawakonie), Oklahoma generated an estimated $16,318,665-$21,758,220 in regional economic activity (BEA RIMS II methodology, output multiplier range 1.8-2.4x), supporting approximately 73-136 jobs (BLS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Wichita and Affiliated Tribes (Wichita, Keechi, Waco, &amp; Tawakonie), Oklahoma generated an estimated $16,318,665-$21,758,220 in regional economic activity (BEA RIMS II methodology, output multiplier range 1.8-2.4x), supporting approximately 73-136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$535,000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Wichita and Affiliated Tribes (Wichita, Keechi, Waco, &amp; Tawakonie), Oklahoma generated an estimated $963,000-$1,284,000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Wichita and Affiliated Tribes (Wichita, Keechi, Waco, &amp; Tawakonie), Oklahoma generated an estimated $963,000-$1,284,000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Wichita and Affiliated Tribes (Wichita, Keechi, Waco, &amp; Tawakonie),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Wichita and Affiliated Tribes (Wichita, Keechi, Waco, &amp; Tawakonie),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Wichita and Affiliated Tribes (Wichita, Keechi, Waco, &amp; Tawakonie),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Wichita and Affiliated Tribes (Wichita, Keechi, Waco, &amp; Tawakonie),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Wichita and Affiliated Tribes (Wichita, Keechi, Waco, &amp; Tawakonie),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Wichita and Affiliated Tribes (Wichita, Keechi, Waco, &amp; Tawakonie),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