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Fort Yukon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Fort Yukon's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Fort Yukon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$16,262,106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2023-08-21 - 2025-09-30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$5,400,000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Fort Yukon generated an estimated $9,720,000-$12,960,000 in regional economic activity (BEA RIMS II methodology, output multiplier range 1.8-2.4x), supporting approximately 43-81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Fort Yukon generated an estimated $9,720,000-$12,960,000 in regional economic activity (BEA RIMS II methodology, output multiplier range 1.8-2.4x), supporting approximately 43-81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Fort Yukon generated an estimated $1,400,396-$1,867,195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Fort Yukon generated an estimated $1,400,396-$1,867,195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$8,945,718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$8,945,718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Fort Yukon generated an estimated $16,102,292-$21,469,723 in regional economic activity (BEA RIMS II methodology, output multiplier range 1.8-2.4x), supporting approximately 72-134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Fort Yukon generated an estimated $16,102,292-$21,469,723 in regional economic activity (BEA RIMS II methodology, output multiplier range 1.8-2.4x), supporting approximately 72-134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Fort Yukon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Fort Yukon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Fort Yukon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