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Monacan Indian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Monacan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Monacan Indian Nation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$4,903,086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$4,046,799</w:t>
            </w:r>
          </w:p>
        </w:tc>
        <w:tc>
          <w:tcPr>
            <w:tcW w:type="dxa" w:w="2340"/>
            <w:shd w:fill="F2F2F2" w:val="clear"/>
          </w:tcPr>
          <w:p>
            <w:r>
              <w:t>2018-09-05 - 2034-09-30</w:t>
            </w:r>
          </w:p>
        </w:tc>
      </w:tr>
    </w:tbl>
    <w:p>
      <w:pPr>
        <w:pStyle w:val="HSBody"/>
      </w:pPr>
      <w:r>
        <w:rPr>
          <w:b/>
        </w:rPr>
        <w:t>Total: $4,046,799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Monacan Indian Nation generated an estimated $7,284,238-$9,712,318 in regional economic activity (BEA RIMS II methodology, output multiplier range 1.8-2.4x), supporting approximately 32-61 jobs (BLS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Monacan Indian Nation generated an estimated $7,284,238-$9,712,318 in regional economic activity (BEA RIMS II methodology, output multiplier range 1.8-2.4x), supporting approximately 32-61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$337,809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$274,713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$612,522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Monacan Indian Nation generated an estimated $1,102,540-$1,470,053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Monacan Indian Nation generated an estimated $1,102,540-$1,470,053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Monacan Indian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Monacan Indian Nation's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Monacan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Monacan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Monacan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Monacan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