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Nansemond Indian Nation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VA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Nansemond Indian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Nansemond Indian Nation -- VA</w:t>
      </w:r>
    </w:p>
    <w:p>
      <w:pPr>
        <w:pStyle w:val="HSBody"/>
      </w:pPr>
      <w:r>
        <w:t>Top Climate Hazards: Hurricane, Earthquake, Drought</w:t>
      </w:r>
    </w:p>
    <w:p>
      <w:pPr>
        <w:pStyle w:val="HSBody"/>
      </w:pPr>
      <w:r>
        <w:t>Total Federal Climate Resilience Funding: $2,628,590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Nansemond Indian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Nansemond Indian Nation's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Nansemond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$499,918</w:t>
            </w:r>
          </w:p>
        </w:tc>
        <w:tc>
          <w:tcPr>
            <w:tcW w:type="dxa" w:w="2340"/>
            <w:shd w:fill="F2F2F2" w:val="clear"/>
          </w:tcPr>
          <w:p>
            <w:r>
              <w:t>2024-01-01 - 2027-09-30</w:t>
            </w:r>
          </w:p>
        </w:tc>
      </w:tr>
    </w:tbl>
    <w:p>
      <w:pPr>
        <w:pStyle w:val="HSBody"/>
      </w:pPr>
      <w:r>
        <w:rPr>
          <w:b/>
        </w:rPr>
        <w:t>Total: $499,918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Nansemond Indian Nation generated an estimated $899,852-$1,199,803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Nansemond Indian Nation's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Nansemond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Nansemond Indian Nation generated an estimated $899,852-$1,199,803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Nansemond Indian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Nansemond Indian Nation's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Nansemond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Nansemond Indian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Nansemond Indian Nation's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Nansemond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$1,554,385</w:t>
            </w:r>
          </w:p>
        </w:tc>
        <w:tc>
          <w:tcPr>
            <w:tcW w:type="dxa" w:w="2340"/>
            <w:shd w:fill="F2F2F2" w:val="clear"/>
          </w:tcPr>
          <w:p>
            <w:r>
              <w:t>2018-09-10 - 2033-09-30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$97,413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$1,651,798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Nansemond Indian Nation generated an estimated $2,973,236-$3,964,315 in regional economic activity (BEA RIMS II methodology, output multiplier range 1.8-2.4x), supporting approximately 13-25 jobs (BLS employment requirements methodology).</w:t>
      </w:r>
    </w:p>
    <w:p>
      <w:pPr>
        <w:pStyle w:val="HSBody"/>
      </w:pPr>
      <w:r>
        <w:t>Hazard Alignment: Nansemond Indian Nation's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Nansemond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HUD IHBG funding to Nansemond Indian Nation generated an estimated $2,973,236-$3,964,315 in regional economic activity (BEA RIMS II methodology, output multiplier range 1.8-2.4x), supporting approximately 13-25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$355,891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$120,983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$476,874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Nansemond Indian Nation generated an estimated $858,373-$1,144,498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Nansemond Indian Nation's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Nansemond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EPA GAP funding to Nansemond Indian Nation generated an estimated $858,373-$1,144,498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Nansemond Indian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Nansemond Indian Nation's hurricane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Nansemond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Nansemond Indian Nation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Nansemond Indian Nation's hurricane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Nansemond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Nansemond Indian Nation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Nansemond Indian Nation's hurricane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Nansemond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Nansemond Indian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Nansemond Indian Nation's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Nansemond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Nansemond Indian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Nansemond Indian Nation's hurricane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Nansemond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Nansemond Indian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68.2 -- (Relatively High)</w:t>
      </w:r>
    </w:p>
    <w:p>
      <w:pPr>
        <w:pStyle w:val="HSBody"/>
      </w:pPr>
      <w:r>
        <w:t>Earthquake -- Risk Score: 53.5 -- (Relatively Moderate)</w:t>
      </w:r>
    </w:p>
    <w:p>
      <w:pPr>
        <w:pStyle w:val="HSBody"/>
      </w:pPr>
      <w:r>
        <w:t>Drought -- Risk Score: 48.6 -- (Relatively Moderate)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Nansemond Indian Nation's hurricane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Nansemond Indian Nation's Hurricane, Earthquake and Drought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33.3)</w:t>
      </w:r>
    </w:p>
    <w:p>
      <w:pPr>
        <w:pStyle w:val="HSBody"/>
      </w:pPr>
      <w:r>
        <w:t>Social Vulnerability: Relatively Moderate (Score: 47.9)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68.2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$1,596,242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53.5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$748,648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48.6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$574,431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45.7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$12,033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Strong Wind</w:t>
            </w:r>
          </w:p>
        </w:tc>
        <w:tc>
          <w:tcPr>
            <w:tcW w:type="dxa" w:w="2340"/>
            <w:shd w:fill="F2F2F2" w:val="clear"/>
          </w:tcPr>
          <w:p>
            <w:r>
              <w:t>42.6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$593,886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Nansemond Indian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Nansemond Indian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Nansemond Indian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