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Catawba Indian Nation</w:t>
      </w:r>
    </w:p>
    <w:p>
      <w:pPr>
        <w:pStyle w:val="HSBody"/>
      </w:pPr>
      <w:r>
        <w:t>Prepared for the offices of: 2 Senators, 1 Representative</w:t>
      </w:r>
    </w:p>
    <w:p>
      <w:pPr>
        <w:pStyle w:val="HSBody"/>
      </w:pPr>
      <w:r>
        <w:t>State(s): SC</w:t>
      </w:r>
    </w:p>
    <w:p>
      <w:pPr>
        <w:pStyle w:val="HSBody"/>
      </w:pPr>
      <w:r>
        <w:t>Ecoregion(s): southeast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EPA STAG</w:t>
      </w:r>
      <w:r>
        <w:t xml:space="preserve">  </w:t>
      </w:r>
      <w:r>
        <w:rPr>
          <w:color w:val="4B5563"/>
          <w:sz w:val="16"/>
        </w:rPr>
        <w:t>[Stable]</w:t>
      </w:r>
    </w:p>
    <w:p>
      <w:pPr>
        <w:pStyle w:val="HSBody"/>
      </w:pPr>
      <w:r>
        <w:t>9. DOT PROTECT</w:t>
      </w:r>
      <w:r>
        <w:t xml:space="preserve">  </w:t>
      </w:r>
      <w:r>
        <w:rPr>
          <w:color w:val="4B5563"/>
          <w:sz w:val="16"/>
        </w:rPr>
        <w:t>[Secure]</w:t>
      </w:r>
    </w:p>
    <w:p>
      <w:pPr>
        <w:pStyle w:val="HSBody"/>
      </w:pPr>
      <w:r>
        <w:t>10. USDA Wildfire Defense Grants</w:t>
      </w:r>
      <w:r>
        <w:t xml:space="preserve">  </w:t>
      </w:r>
      <w:r>
        <w:rPr>
          <w:color w:val="4B5563"/>
          <w:sz w:val="16"/>
        </w:rPr>
        <w:t>[Stable but Vulnerable]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Catawba Indian Nation's climate risk profile and geographic context.</w:t>
      </w:r>
    </w:p>
    <w:p>
      <w:r>
        <w:br w:type="page"/>
      </w:r>
    </w:p>
    <w:p>
      <w:pPr>
        <w:pStyle w:val="Heading2"/>
      </w:pPr>
      <w:r>
        <w:t>Executive Summary</w:t>
      </w:r>
    </w:p>
    <w:p>
      <w:pPr>
        <w:pStyle w:val="HSTitle"/>
      </w:pPr>
      <w:r>
        <w:t>Catawba Indian Nation -- SC</w:t>
      </w:r>
    </w:p>
    <w:p>
      <w:pPr>
        <w:pStyle w:val="HSBody"/>
      </w:pPr>
      <w:r>
        <w:t>This strategy document outlines Catawba Indian Nation's federal climate resilience funding landscape, identifies strategic leverage points across key programs, and recommends sequenced advocacy actions for the current congressional session.</w:t>
      </w:r>
    </w:p>
    <w:p>
      <w:pPr>
        <w:pStyle w:val="HSBody"/>
      </w:pPr>
      <w:r>
        <w:t>Top Climate Hazards: Hurricane, Earthquake, Ice Storm</w:t>
      </w:r>
    </w:p>
    <w:p>
      <w:pPr>
        <w:pStyle w:val="HSBody"/>
      </w:pPr>
      <w:r>
        <w:t>Total Federal Climate Resilience Funding: $18,717,328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Scott (R-SC)</w:t>
            </w:r>
          </w:p>
        </w:tc>
        <w:tc>
          <w:tcPr>
            <w:tcW w:type="dxa" w:w="1872"/>
            <w:shd w:fill="F2F2F2" w:val="clear"/>
          </w:tcPr>
          <w:p>
            <w:r>
              <w:t>Senator</w:t>
            </w:r>
          </w:p>
        </w:tc>
        <w:tc>
          <w:tcPr>
            <w:tcW w:type="dxa" w:w="1872"/>
            <w:shd w:fill="F2F2F2" w:val="clear"/>
          </w:tcPr>
          <w:p>
            <w:r>
              <w:t>SC</w:t>
            </w:r>
          </w:p>
        </w:tc>
        <w:tc>
          <w:tcPr>
            <w:tcW w:type="dxa" w:w="1872"/>
            <w:shd w:fill="F2F2F2" w:val="clear"/>
          </w:tcPr>
          <w:p>
            <w:r>
              <w:t>At-Large</w:t>
            </w:r>
          </w:p>
        </w:tc>
        <w:tc>
          <w:tcPr>
            <w:tcW w:type="dxa" w:w="1872"/>
            <w:shd w:fill="F2F2F2" w:val="clear"/>
          </w:tcPr>
          <w:p>
            <w:r/>
          </w:p>
        </w:tc>
      </w:tr>
      <w:tr>
        <w:tc>
          <w:tcPr>
            <w:tcW w:type="dxa" w:w="1872"/>
            <w:shd w:fill="FFFFFF" w:val="clear"/>
          </w:tcPr>
          <w:p>
            <w:r>
              <w:t>Sen. Lindsey Graham (R-SC)</w:t>
            </w:r>
          </w:p>
        </w:tc>
        <w:tc>
          <w:tcPr>
            <w:tcW w:type="dxa" w:w="1872"/>
            <w:shd w:fill="FFFFFF" w:val="clear"/>
          </w:tcPr>
          <w:p>
            <w:r>
              <w:t>Senator</w:t>
            </w:r>
          </w:p>
        </w:tc>
        <w:tc>
          <w:tcPr>
            <w:tcW w:type="dxa" w:w="1872"/>
            <w:shd w:fill="FFFFFF" w:val="clear"/>
          </w:tcPr>
          <w:p>
            <w:r>
              <w:t>SC</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Transportation, Housing and Urban Development, and Related Agencies</w:t>
            </w:r>
          </w:p>
        </w:tc>
      </w:tr>
      <w:tr>
        <w:tc>
          <w:tcPr>
            <w:tcW w:type="dxa" w:w="1872"/>
            <w:shd w:fill="F2F2F2" w:val="clear"/>
          </w:tcPr>
          <w:p>
            <w:r>
              <w:t>Rep. Ralph Norman (R-SC-05)</w:t>
            </w:r>
          </w:p>
        </w:tc>
        <w:tc>
          <w:tcPr>
            <w:tcW w:type="dxa" w:w="1872"/>
            <w:shd w:fill="F2F2F2" w:val="clear"/>
          </w:tcPr>
          <w:p>
            <w:r>
              <w:t>Representative</w:t>
            </w:r>
          </w:p>
        </w:tc>
        <w:tc>
          <w:tcPr>
            <w:tcW w:type="dxa" w:w="1872"/>
            <w:shd w:fill="F2F2F2" w:val="clear"/>
          </w:tcPr>
          <w:p>
            <w:r>
              <w:t>SC</w:t>
            </w:r>
          </w:p>
        </w:tc>
        <w:tc>
          <w:tcPr>
            <w:tcW w:type="dxa" w:w="1872"/>
            <w:shd w:fill="F2F2F2" w:val="clear"/>
          </w:tcPr>
          <w:p>
            <w:r>
              <w:t>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Lindsey Graham (R-SC): Sits on Senate Committee on Appropriations; Commerce, Justice, Science, and Related Agencies; Energy and Water Development;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$211,844</w:t>
            </w:r>
          </w:p>
        </w:tc>
        <w:tc>
          <w:tcPr>
            <w:tcW w:type="dxa" w:w="2340"/>
            <w:shd w:fill="F2F2F2" w:val="clear"/>
          </w:tcPr>
          <w:p>
            <w:r>
              <w:t>2019-10-01 - 2025-04-30</w:t>
            </w:r>
          </w:p>
        </w:tc>
      </w:tr>
    </w:tbl>
    <w:p>
      <w:pPr>
        <w:pStyle w:val="HSBody"/>
      </w:pPr>
      <w:r>
        <w:rPr>
          <w:b/>
        </w:rPr>
        <w:t>Total: $211,844</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FEMA BRIC funding to Catawba Indian Nation generated an estimated $381,319-$508,425 in regional economic activity (BEA RIMS II methodology, output multiplier range 1.8-2.4x), supporting approximately 2-3 jobs (BLS employment requirements methodology).</w:t>
      </w:r>
    </w:p>
    <w:p>
      <w:pPr>
        <w:pStyle w:val="HSBody"/>
      </w:pPr>
      <w:r>
        <w:t>Hazard Alignment: Catawba Indian Nation's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FEMA BRIC funding to Catawba Indian Nation generated an estimated $381,319-$508,425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Catawba Indian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Catawba Indian Nation's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Catawba Indian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Catawba Indian Nation's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$211,844</w:t>
            </w:r>
          </w:p>
        </w:tc>
        <w:tc>
          <w:tcPr>
            <w:tcW w:type="dxa" w:w="2340"/>
            <w:shd w:fill="F2F2F2" w:val="clear"/>
          </w:tcPr>
          <w:p>
            <w:r>
              <w:t>2019-10-01 - 2025-04-30</w:t>
            </w:r>
          </w:p>
        </w:tc>
      </w:tr>
    </w:tbl>
    <w:p>
      <w:pPr>
        <w:pStyle w:val="HSBody"/>
      </w:pPr>
      <w:r>
        <w:rPr>
          <w:b/>
        </w:rPr>
        <w:t>Total: $211,844</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Catawba Indian Nation's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$9,776,089</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$41,542</w:t>
            </w:r>
          </w:p>
        </w:tc>
        <w:tc>
          <w:tcPr>
            <w:tcW w:type="dxa" w:w="2340"/>
            <w:shd w:fill="FFFFFF" w:val="clear"/>
          </w:tcPr>
          <w:p>
            <w:r>
              <w:t>2021-04-22 - 2026-09-30</w:t>
            </w:r>
          </w:p>
        </w:tc>
      </w:tr>
    </w:tbl>
    <w:p>
      <w:pPr>
        <w:pStyle w:val="HSBody"/>
      </w:pPr>
      <w:r>
        <w:rPr>
          <w:b/>
        </w:rPr>
        <w:t>Total: $9,817,631</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HUD IHBG funding to Catawba Indian Nation generated an estimated $17,671,736-$23,562,315 in regional economic activity (BEA RIMS II methodology, output multiplier range 1.8-2.4x), supporting approximately 79-147 jobs (BLS employment requirements methodology).</w:t>
      </w:r>
    </w:p>
    <w:p>
      <w:pPr>
        <w:pStyle w:val="HSBody"/>
      </w:pPr>
      <w:r>
        <w:t>Hazard Alignment: Catawba Indian Nation's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HUD IHBG funding to Catawba Indian Nation generated an estimated $17,671,736-$23,562,315 in regional economic activity (BEA RIMS II methodology, output multiplier range 1.8-2.4x), supporting approximately 79-147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Catawba Indian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Catawba Indian Nation's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Catawba Indian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Catawba Indian Nation's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$83,000</w:t>
            </w:r>
          </w:p>
        </w:tc>
        <w:tc>
          <w:tcPr>
            <w:tcW w:type="dxa" w:w="2340"/>
            <w:shd w:fill="F2F2F2" w:val="clear"/>
          </w:tcPr>
          <w:p>
            <w:r>
              <w:t>2024-10-01 - 2026-09-30</w:t>
            </w:r>
          </w:p>
        </w:tc>
      </w:tr>
    </w:tbl>
    <w:p>
      <w:pPr>
        <w:pStyle w:val="HSBody"/>
      </w:pPr>
      <w:r>
        <w:rPr>
          <w:b/>
        </w:rPr>
        <w:t>Total: $83,000</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EPA STAG funding to Catawba Indian Nation generated an estimated $149,400-$199,200 in regional economic activity (BEA RIMS II methodology, output multiplier range 1.8-2.4x), supporting approximately 1-1 jobs (BLS employment requirements methodology).</w:t>
      </w:r>
    </w:p>
    <w:p>
      <w:pPr>
        <w:pStyle w:val="HSBody"/>
      </w:pPr>
      <w:r>
        <w:t>Hazard Alignment: Catawba Indian Nation's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EPA STAG funding to Catawba Indian Nation generated an estimated $149,400-$199,200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Catawba Indian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Catawba Indian Nation's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Catawba Indian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Catawba Indian Nation's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Catawba Indian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Catawba Indian Nation's hurricane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Catawba Indian Nation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Catawba Indian Nation's hurricane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70.8)</w:t>
      </w:r>
    </w:p>
    <w:p>
      <w:pPr>
        <w:pStyle w:val="HSBody"/>
      </w:pPr>
      <w:r>
        <w:t>Social Vulnerability: Relatively High (Score: 66.4)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85.3</w:t>
            </w:r>
          </w:p>
        </w:tc>
        <w:tc>
          <w:tcPr>
            <w:tcW w:type="dxa" w:w="2340"/>
            <w:shd w:fill="F2F2F2" w:val="clear"/>
          </w:tcPr>
          <w:p>
            <w:r>
              <w:t>Very High</w:t>
            </w:r>
          </w:p>
        </w:tc>
        <w:tc>
          <w:tcPr>
            <w:tcW w:type="dxa" w:w="2340"/>
            <w:shd w:fill="F2F2F2" w:val="clear"/>
          </w:tcPr>
          <w:p>
            <w:r>
              <w:t>$25,886,212</w:t>
            </w:r>
          </w:p>
        </w:tc>
      </w:tr>
      <w:tr>
        <w:tc>
          <w:tcPr>
            <w:tcW w:type="dxa" w:w="2340"/>
            <w:shd w:fill="FFFFFF" w:val="clear"/>
          </w:tcPr>
          <w:p>
            <w:r>
              <w:t>Earthquake</w:t>
            </w:r>
          </w:p>
        </w:tc>
        <w:tc>
          <w:tcPr>
            <w:tcW w:type="dxa" w:w="2340"/>
            <w:shd w:fill="FFFFFF" w:val="clear"/>
          </w:tcPr>
          <w:p>
            <w:r>
              <w:t>83.4</w:t>
            </w:r>
          </w:p>
        </w:tc>
        <w:tc>
          <w:tcPr>
            <w:tcW w:type="dxa" w:w="2340"/>
            <w:shd w:fill="FFFFFF" w:val="clear"/>
          </w:tcPr>
          <w:p>
            <w:r>
              <w:t>Very High</w:t>
            </w:r>
          </w:p>
        </w:tc>
        <w:tc>
          <w:tcPr>
            <w:tcW w:type="dxa" w:w="2340"/>
            <w:shd w:fill="FFFFFF" w:val="clear"/>
          </w:tcPr>
          <w:p>
            <w:r>
              <w:t>$8,132,977</w:t>
            </w:r>
          </w:p>
        </w:tc>
      </w:tr>
      <w:tr>
        <w:tc>
          <w:tcPr>
            <w:tcW w:type="dxa" w:w="2340"/>
            <w:shd w:fill="F2F2F2" w:val="clear"/>
          </w:tcPr>
          <w:p>
            <w:r>
              <w:t>Ice Storm</w:t>
            </w:r>
          </w:p>
        </w:tc>
        <w:tc>
          <w:tcPr>
            <w:tcW w:type="dxa" w:w="2340"/>
            <w:shd w:fill="F2F2F2" w:val="clear"/>
          </w:tcPr>
          <w:p>
            <w:r>
              <w:t>80.2</w:t>
            </w:r>
          </w:p>
        </w:tc>
        <w:tc>
          <w:tcPr>
            <w:tcW w:type="dxa" w:w="2340"/>
            <w:shd w:fill="F2F2F2" w:val="clear"/>
          </w:tcPr>
          <w:p>
            <w:r>
              <w:t>Very High</w:t>
            </w:r>
          </w:p>
        </w:tc>
        <w:tc>
          <w:tcPr>
            <w:tcW w:type="dxa" w:w="2340"/>
            <w:shd w:fill="F2F2F2" w:val="clear"/>
          </w:tcPr>
          <w:p>
            <w:r>
              <w:t>$906,874</w:t>
            </w:r>
          </w:p>
        </w:tc>
      </w:tr>
      <w:tr>
        <w:tc>
          <w:tcPr>
            <w:tcW w:type="dxa" w:w="2340"/>
            <w:shd w:fill="FFFFFF" w:val="clear"/>
          </w:tcPr>
          <w:p>
            <w:r>
              <w:t>Lightning</w:t>
            </w:r>
          </w:p>
        </w:tc>
        <w:tc>
          <w:tcPr>
            <w:tcW w:type="dxa" w:w="2340"/>
            <w:shd w:fill="FFFFFF" w:val="clear"/>
          </w:tcPr>
          <w:p>
            <w:r>
              <w:t>71.3</w:t>
            </w:r>
          </w:p>
        </w:tc>
        <w:tc>
          <w:tcPr>
            <w:tcW w:type="dxa" w:w="2340"/>
            <w:shd w:fill="FFFFFF" w:val="clear"/>
          </w:tcPr>
          <w:p>
            <w:r>
              <w:t>Relatively High</w:t>
            </w:r>
          </w:p>
        </w:tc>
        <w:tc>
          <w:tcPr>
            <w:tcW w:type="dxa" w:w="2340"/>
            <w:shd w:fill="FFFFFF" w:val="clear"/>
          </w:tcPr>
          <w:p>
            <w:r>
              <w:t>$790,201</w:t>
            </w:r>
          </w:p>
        </w:tc>
      </w:tr>
      <w:tr>
        <w:tc>
          <w:tcPr>
            <w:tcW w:type="dxa" w:w="2340"/>
            <w:shd w:fill="F2F2F2" w:val="clear"/>
          </w:tcPr>
          <w:p>
            <w:r>
              <w:t>Tornado</w:t>
            </w:r>
          </w:p>
        </w:tc>
        <w:tc>
          <w:tcPr>
            <w:tcW w:type="dxa" w:w="2340"/>
            <w:shd w:fill="F2F2F2" w:val="clear"/>
          </w:tcPr>
          <w:p>
            <w:r>
              <w:t>71.1</w:t>
            </w:r>
          </w:p>
        </w:tc>
        <w:tc>
          <w:tcPr>
            <w:tcW w:type="dxa" w:w="2340"/>
            <w:shd w:fill="F2F2F2" w:val="clear"/>
          </w:tcPr>
          <w:p>
            <w:r>
              <w:t>Relatively High</w:t>
            </w:r>
          </w:p>
        </w:tc>
        <w:tc>
          <w:tcPr>
            <w:tcW w:type="dxa" w:w="2340"/>
            <w:shd w:fill="F2F2F2" w:val="clear"/>
          </w:tcPr>
          <w:p>
            <w:r>
              <w:t>$4,386,996</w:t>
            </w:r>
          </w:p>
        </w:tc>
      </w:tr>
    </w:tbl>
    <w:p>
      <w:pPr>
        <w:pStyle w:val="HSSection"/>
      </w:pPr>
      <w:r>
        <w:t>Hazard-to-Program Alignment</w:t>
      </w:r>
    </w:p>
    <w:p>
      <w:pPr>
        <w:pStyle w:val="HSBody"/>
      </w:pPr>
      <w:r>
        <w:t>Catawba Indian Nation's top hazard exposures (Hurricane, Earthquake,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Catawba Indian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Catawba Indian Nation's advocacy engagements during the current congressional session.</w:t>
      </w:r>
    </w:p>
    <w:p>
      <w:pPr>
        <w:pStyle w:val="HSSection"/>
      </w:pPr>
      <w:r>
        <w:t>Core Message</w:t>
      </w:r>
    </w:p>
    <w:p>
      <w:pPr>
        <w:pStyle w:val="HSBody"/>
      </w:pPr>
      <w:r>
        <w:t>Catawba Indian Nation faces significant hurricane risk. Congress has funded programs that address this risk, but administrative delivery gaps and structural barriers prevent these resources from reaching Tribal communities in SC.</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Catawba Indian Nation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Catawba Indian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