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Citizen Potawatomi Nation, Oklahoma</w:t>
      </w:r>
    </w:p>
    <w:p>
      <w:pPr>
        <w:pStyle w:val="HSBody"/>
      </w:pPr>
      <w:r>
        <w:t>Prepared for the offices of: 2 Senators, 2 Representatives</w:t>
      </w:r>
    </w:p>
    <w:p>
      <w:pPr>
        <w:pStyle w:val="HSBody"/>
      </w:pPr>
      <w:r>
        <w:t>State(s): OK</w:t>
      </w:r>
    </w:p>
    <w:p>
      <w:pPr>
        <w:pStyle w:val="HSBody"/>
      </w:pPr>
      <w:r>
        <w:t>Ecoregion(s): great_plains_south</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Citizen Potawatomi Nation, Oklahoma's climate risk profile and geographic context.</w:t>
      </w:r>
    </w:p>
    <w:p>
      <w:r>
        <w:br w:type="page"/>
      </w:r>
    </w:p>
    <w:p>
      <w:pPr>
        <w:pStyle w:val="Heading2"/>
      </w:pPr>
      <w:r>
        <w:t>Executive Summary</w:t>
      </w:r>
    </w:p>
    <w:p>
      <w:pPr>
        <w:pStyle w:val="HSTitle"/>
      </w:pPr>
      <w:r>
        <w:t>Citizen Potawatomi Nation, Oklahoma -- OK</w:t>
      </w:r>
    </w:p>
    <w:p>
      <w:pPr>
        <w:pStyle w:val="HSBody"/>
      </w:pPr>
      <w:r>
        <w:t>This strategy document outlines Citizen Potawatomi Nation,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$71,122,933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Stephanie I. Bice (R-OK-05)</w:t>
            </w:r>
          </w:p>
        </w:tc>
        <w:tc>
          <w:tcPr>
            <w:tcW w:type="dxa" w:w="1872"/>
            <w:shd w:fill="F2F2F2" w:val="clear"/>
          </w:tcPr>
          <w:p>
            <w:r>
              <w:t>Representative</w:t>
            </w:r>
          </w:p>
        </w:tc>
        <w:tc>
          <w:tcPr>
            <w:tcW w:type="dxa" w:w="1872"/>
            <w:shd w:fill="F2F2F2" w:val="clear"/>
          </w:tcPr>
          <w:p>
            <w:r>
              <w:t>OK</w:t>
            </w:r>
          </w:p>
        </w:tc>
        <w:tc>
          <w:tcPr>
            <w:tcW w:type="dxa" w:w="1872"/>
            <w:shd w:fill="F2F2F2" w:val="clear"/>
          </w:tcPr>
          <w:p>
            <w:r>
              <w:t>5</w:t>
            </w:r>
          </w:p>
        </w:tc>
        <w:tc>
          <w:tcPr>
            <w:tcW w:type="dxa" w:w="1872"/>
            <w:shd w:fill="F2F2F2" w:val="clear"/>
          </w:tcPr>
          <w:p>
            <w:r>
              <w:t>House Committee on Appropriations; Transportation, Housing and Urban Development, and Related Agencies</w:t>
            </w:r>
          </w:p>
        </w:tc>
      </w:tr>
      <w:tr>
        <w:tc>
          <w:tcPr>
            <w:tcW w:type="dxa" w:w="1872"/>
            <w:shd w:fill="FFFFFF" w:val="clear"/>
          </w:tcPr>
          <w:p>
            <w:r>
              <w:t>Rep. Tom Cole (R-OK-04)</w:t>
            </w:r>
          </w:p>
        </w:tc>
        <w:tc>
          <w:tcPr>
            <w:tcW w:type="dxa" w:w="1872"/>
            <w:shd w:fill="FFFFFF" w:val="clear"/>
          </w:tcPr>
          <w:p>
            <w:r>
              <w:t>Representative</w:t>
            </w:r>
          </w:p>
        </w:tc>
        <w:tc>
          <w:tcPr>
            <w:tcW w:type="dxa" w:w="1872"/>
            <w:shd w:fill="FFFFFF" w:val="clear"/>
          </w:tcPr>
          <w:p>
            <w:r>
              <w:t>OK</w:t>
            </w:r>
          </w:p>
        </w:tc>
        <w:tc>
          <w:tcPr>
            <w:tcW w:type="dxa" w:w="1872"/>
            <w:shd w:fill="FFFFFF" w:val="clear"/>
          </w:tcPr>
          <w:p>
            <w:r>
              <w:t>4</w:t>
            </w:r>
          </w:p>
        </w:tc>
        <w:tc>
          <w:tcPr>
            <w:tcW w:type="dxa" w:w="1872"/>
            <w:shd w:fill="FFFFFF" w:val="clear"/>
          </w:tcPr>
          <w:p>
            <w:r>
              <w:t>House Committee on Appropriations</w:t>
            </w:r>
          </w:p>
        </w:tc>
      </w:tr>
    </w:tbl>
    <w:p>
      <w:pPr>
        <w:pStyle w:val="HSBody"/>
      </w:pPr>
      <w:r>
        <w:t>3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pPr>
        <w:pStyle w:val="HSBody"/>
      </w:pPr>
      <w:r>
        <w:t>Rep. Stephanie I. Bice (R-OK-05): Sits on House Committee on Appropriations; Transportation, Housing and Urban Development, and Related Agencies. Direct influence on relevant programs.</w:t>
      </w:r>
    </w:p>
    <w:p>
      <w:pPr>
        <w:pStyle w:val="HSBody"/>
      </w:pPr>
      <w:r>
        <w:t>Rep. Tom Cole (R-OK-04): Sits on House Committee on Appropriations.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$413,188</w:t>
            </w:r>
          </w:p>
        </w:tc>
        <w:tc>
          <w:tcPr>
            <w:tcW w:type="dxa" w:w="2340"/>
            <w:shd w:fill="F2F2F2" w:val="clear"/>
          </w:tcPr>
          <w:p>
            <w:r>
              <w:t>2024-06-25 - 2027-06-24</w:t>
            </w:r>
          </w:p>
        </w:tc>
      </w:tr>
    </w:tbl>
    <w:p>
      <w:pPr>
        <w:pStyle w:val="HSBody"/>
      </w:pPr>
      <w:r>
        <w:rPr>
          <w:b/>
        </w:rPr>
        <w:t>Total: $413,188</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FEMA BRIC funding to Citizen Potawatomi Nation, Oklahoma generated an estimated $743,739-$991,651 in regional economic activity (BEA RIMS II methodology, output multiplier range 1.8-2.4x), supporting approximately 3-6 jobs (BLS employment requirements methodology).</w:t>
      </w:r>
    </w:p>
    <w:p>
      <w:pPr>
        <w:pStyle w:val="HSBody"/>
      </w:pPr>
      <w:r>
        <w:t>Hazard Alignment: Citizen Potawatomi Nation, Oklahoma's ice storm risk profile reinforces the economic case for continued federal investment in FEMA BRIC.</w:t>
      </w:r>
    </w:p>
    <w:p>
      <w:pPr>
        <w:pStyle w:val="HSBody"/>
      </w:pPr>
      <w:r>
        <w:t>Per-District Impact Allocation:</w:t>
      </w:r>
    </w:p>
    <w:p>
      <w:pPr>
        <w:pStyle w:val="HSBody"/>
      </w:pPr>
      <w:r>
        <w:t xml:space="preserve">  OK-05 (69% overlap): $512,436 - $683,248</w:t>
      </w:r>
    </w:p>
    <w:p>
      <w:pPr>
        <w:pStyle w:val="HSBody"/>
      </w:pPr>
      <w:r>
        <w:t xml:space="preserve">  OK-04 (31% overlap): $231,303 - $308,404</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FEMA BRIC funding to Citizen Potawatomi Nation, Oklahoma generated an estimated $743,739-$991,651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Citizen Potawatomi Nation,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Citizen Potawatomi Nation, Oklahoma's ice storm risk profile reinforces the economic case for continued federal investment in BIA Tribal Climate Resilience.</w:t>
      </w:r>
    </w:p>
    <w:p>
      <w:pPr>
        <w:pStyle w:val="HSBody"/>
      </w:pPr>
      <w:r>
        <w:t>Per-District Impact Allocation:</w:t>
      </w:r>
    </w:p>
    <w:p>
      <w:pPr>
        <w:pStyle w:val="HSBody"/>
      </w:pPr>
      <w:r>
        <w:t xml:space="preserve">  OK-05 (69% overlap): $186,030 - $248,040</w:t>
      </w:r>
    </w:p>
    <w:p>
      <w:pPr>
        <w:pStyle w:val="HSBody"/>
      </w:pPr>
      <w:r>
        <w:t xml:space="preserve">  OK-04 (31% overlap): $83,970 - $111,960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Citizen Potawatomi Nation,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Citizen Potawatomi Nation, Oklahoma's ice storm risk profile reinforces the economic case for continued federal investment in IRS Elective Pay.</w:t>
      </w:r>
    </w:p>
    <w:p>
      <w:pPr>
        <w:pStyle w:val="HSBody"/>
      </w:pPr>
      <w:r>
        <w:t>Per-District Impact Allocation:</w:t>
      </w:r>
    </w:p>
    <w:p>
      <w:pPr>
        <w:pStyle w:val="HSBody"/>
      </w:pPr>
      <w:r>
        <w:t xml:space="preserve">  OK-05 (69% overlap): $248,040 - $330,720</w:t>
      </w:r>
    </w:p>
    <w:p>
      <w:pPr>
        <w:pStyle w:val="HSBody"/>
      </w:pPr>
      <w:r>
        <w:t xml:space="preserve">  OK-04 (31% overlap): $111,960 - $149,280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$413,188</w:t>
            </w:r>
          </w:p>
        </w:tc>
        <w:tc>
          <w:tcPr>
            <w:tcW w:type="dxa" w:w="2340"/>
            <w:shd w:fill="F2F2F2" w:val="clear"/>
          </w:tcPr>
          <w:p>
            <w:r>
              <w:t>2024-06-25 - 2027-06-24</w:t>
            </w:r>
          </w:p>
        </w:tc>
      </w:tr>
    </w:tbl>
    <w:p>
      <w:pPr>
        <w:pStyle w:val="HSBody"/>
      </w:pPr>
      <w:r>
        <w:rPr>
          <w:b/>
        </w:rPr>
        <w:t>Total: $413,188</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Citizen Potawatomi Nation, Oklahoma's ice storm risk profile reinforces the economic case for continued federal investment in FEMA Tribal Mitigation Plans.</w:t>
      </w:r>
    </w:p>
    <w:p>
      <w:pPr>
        <w:pStyle w:val="HSBody"/>
      </w:pPr>
      <w:r>
        <w:t>Per-District Impact Allocation:</w:t>
      </w:r>
    </w:p>
    <w:p>
      <w:pPr>
        <w:pStyle w:val="HSBody"/>
      </w:pPr>
      <w:r>
        <w:t xml:space="preserve">  OK-05 (69% overlap): $372,060 - $496,080</w:t>
      </w:r>
    </w:p>
    <w:p>
      <w:pPr>
        <w:pStyle w:val="HSBody"/>
      </w:pPr>
      <w:r>
        <w:t xml:space="preserve">  OK-04 (31% overlap): $167,940 - $223,920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$49,584,593</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$1,621,968</w:t>
            </w:r>
          </w:p>
        </w:tc>
        <w:tc>
          <w:tcPr>
            <w:tcW w:type="dxa" w:w="2340"/>
            <w:shd w:fill="FFFFFF" w:val="clear"/>
          </w:tcPr>
          <w:p>
            <w:r>
              <w:t>2021-04-22 - 2026-09-30</w:t>
            </w:r>
          </w:p>
        </w:tc>
      </w:tr>
    </w:tbl>
    <w:p>
      <w:pPr>
        <w:pStyle w:val="HSBody"/>
      </w:pPr>
      <w:r>
        <w:rPr>
          <w:b/>
        </w:rPr>
        <w:t>Total: $51,206,561</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Citizen Potawatomi Nation, Oklahoma generated an estimated $92,171,810-$122,895,746 in regional economic activity (BEA RIMS II methodology, output multiplier range 1.8-2.4x), supporting approximately 410-768 jobs (BLS employment requirements methodology).</w:t>
      </w:r>
    </w:p>
    <w:p>
      <w:pPr>
        <w:pStyle w:val="HSBody"/>
      </w:pPr>
      <w:r>
        <w:t>Hazard Alignment: Citizen Potawatomi Nation, Oklahoma's ice storm risk profile reinforces the economic case for continued federal investment in HUD IHBG.</w:t>
      </w:r>
    </w:p>
    <w:p>
      <w:pPr>
        <w:pStyle w:val="HSBody"/>
      </w:pPr>
      <w:r>
        <w:t>Per-District Impact Allocation:</w:t>
      </w:r>
    </w:p>
    <w:p>
      <w:pPr>
        <w:pStyle w:val="HSBody"/>
      </w:pPr>
      <w:r>
        <w:t xml:space="preserve">  OK-05 (69% overlap): $63,506,377 - $84,675,169</w:t>
      </w:r>
    </w:p>
    <w:p>
      <w:pPr>
        <w:pStyle w:val="HSBody"/>
      </w:pPr>
      <w:r>
        <w:t xml:space="preserve">  OK-04 (31% overlap): $28,665,433 - $38,220,577</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HUD IHBG funding to Citizen Potawatomi Nation, Oklahoma generated an estimated $92,171,810-$122,895,746 in regional economic activity (BEA RIMS II methodology, output multiplier range 1.8-2.4x), supporting approximately 410-768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Citizen Potawatomi Nation,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Citizen Potawatomi Nation, Oklahoma's ice storm risk profile reinforces the economic case for continued federal investment in DOE Indian Energy.</w:t>
      </w:r>
    </w:p>
    <w:p>
      <w:pPr>
        <w:pStyle w:val="HSBody"/>
      </w:pPr>
      <w:r>
        <w:t>Per-District Impact Allocation:</w:t>
      </w:r>
    </w:p>
    <w:p>
      <w:pPr>
        <w:pStyle w:val="HSBody"/>
      </w:pPr>
      <w:r>
        <w:t xml:space="preserve">  OK-05 (69% overlap): $248,040 - $330,720</w:t>
      </w:r>
    </w:p>
    <w:p>
      <w:pPr>
        <w:pStyle w:val="HSBody"/>
      </w:pPr>
      <w:r>
        <w:t xml:space="preserve">  OK-04 (31% overlap): $111,960 - $149,280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Citizen Potawatomi Nation, Oklahoma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Citizen Potawatomi Nation, Oklahoma's ice storm risk profile reinforces the economic case for continued federal investment in EPA GAP.</w:t>
      </w:r>
    </w:p>
    <w:p>
      <w:pPr>
        <w:pStyle w:val="HSBody"/>
      </w:pPr>
      <w:r>
        <w:t>Per-District Impact Allocation:</w:t>
      </w:r>
    </w:p>
    <w:p>
      <w:pPr>
        <w:pStyle w:val="HSBody"/>
      </w:pPr>
      <w:r>
        <w:t xml:space="preserve">  OK-05 (69% overlap): $93,015 - $124,020</w:t>
      </w:r>
    </w:p>
    <w:p>
      <w:pPr>
        <w:pStyle w:val="HSBody"/>
      </w:pPr>
      <w:r>
        <w:t xml:space="preserve">  OK-04 (31% overlap): $41,985 - $55,980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Citizen Potawatomi Nation,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Citizen Potawatomi Nation, Oklahoma's ice storm risk profile reinforces the economic case for continued federal investment in USDA Wildfire Defense Grants.</w:t>
      </w:r>
    </w:p>
    <w:p>
      <w:pPr>
        <w:pStyle w:val="HSBody"/>
      </w:pPr>
      <w:r>
        <w:t>Per-District Impact Allocation:</w:t>
      </w:r>
    </w:p>
    <w:p>
      <w:pPr>
        <w:pStyle w:val="HSBody"/>
      </w:pPr>
      <w:r>
        <w:t xml:space="preserve">  OK-05 (69% overlap): $434,070 - $578,760</w:t>
      </w:r>
    </w:p>
    <w:p>
      <w:pPr>
        <w:pStyle w:val="HSBody"/>
      </w:pPr>
      <w:r>
        <w:t xml:space="preserve">  OK-04 (31% overlap): $195,930 - $261,240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Citizen Potawatomi Nation,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Citizen Potawatomi Nation, Oklahoma's ice storm risk profile reinforces the economic case for continued federal investment in USBR WaterSMART.</w:t>
      </w:r>
    </w:p>
    <w:p>
      <w:pPr>
        <w:pStyle w:val="HSBody"/>
      </w:pPr>
      <w:r>
        <w:t>Per-District Impact Allocation:</w:t>
      </w:r>
    </w:p>
    <w:p>
      <w:pPr>
        <w:pStyle w:val="HSBody"/>
      </w:pPr>
      <w:r>
        <w:t xml:space="preserve">  OK-05 (69% overlap): $310,050 - $413,400</w:t>
      </w:r>
    </w:p>
    <w:p>
      <w:pPr>
        <w:pStyle w:val="HSBody"/>
      </w:pPr>
      <w:r>
        <w:t xml:space="preserve">  OK-04 (31% overlap): $139,950 - $186,600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Citizen Potawatomi Nation,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Citizen Potawatomi Nation, Oklahoma's ice storm risk profile reinforces the economic case for continued federal investment in USBR TAP.</w:t>
      </w:r>
    </w:p>
    <w:p>
      <w:pPr>
        <w:pStyle w:val="HSBody"/>
      </w:pPr>
      <w:r>
        <w:t>Per-District Impact Allocation:</w:t>
      </w:r>
    </w:p>
    <w:p>
      <w:pPr>
        <w:pStyle w:val="HSBody"/>
      </w:pPr>
      <w:r>
        <w:t xml:space="preserve">  OK-05 (69% overlap): $148,824 - $198,432</w:t>
      </w:r>
    </w:p>
    <w:p>
      <w:pPr>
        <w:pStyle w:val="HSBody"/>
      </w:pPr>
      <w:r>
        <w:t xml:space="preserve">  OK-04 (31% overlap): $67,176 - $89,568</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Citizen Potawatomi Nation, Oklahoma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Citizen Potawatomi Nation, Oklahoma's ice storm risk profile reinforces the economic case for continued federal investment in EPA STAG.</w:t>
      </w:r>
    </w:p>
    <w:p>
      <w:pPr>
        <w:pStyle w:val="HSBody"/>
      </w:pPr>
      <w:r>
        <w:t>Per-District Impact Allocation:</w:t>
      </w:r>
    </w:p>
    <w:p>
      <w:pPr>
        <w:pStyle w:val="HSBody"/>
      </w:pPr>
      <w:r>
        <w:t xml:space="preserve">  OK-05 (69% overlap): $124,020 - $165,360</w:t>
      </w:r>
    </w:p>
    <w:p>
      <w:pPr>
        <w:pStyle w:val="HSBody"/>
      </w:pPr>
      <w:r>
        <w:t xml:space="preserve">  OK-04 (31% overlap): $55,980 - $74,640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Citizen Potawatomi Nation, Oklahoma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Citizen Potawatomi Nation, Oklahoma's ice storm risk profile reinforces the economic case for continued federal investment in DOT PROTECT.</w:t>
      </w:r>
    </w:p>
    <w:p>
      <w:pPr>
        <w:pStyle w:val="HSBody"/>
      </w:pPr>
      <w:r>
        <w:t>Per-District Impact Allocation:</w:t>
      </w:r>
    </w:p>
    <w:p>
      <w:pPr>
        <w:pStyle w:val="HSBody"/>
      </w:pPr>
      <w:r>
        <w:t xml:space="preserve">  OK-05 (69% overlap): $310,050 - $413,400</w:t>
      </w:r>
    </w:p>
    <w:p>
      <w:pPr>
        <w:pStyle w:val="HSBody"/>
      </w:pPr>
      <w:r>
        <w:t xml:space="preserve">  OK-04 (31% overlap): $139,950 - $186,600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Citizen Potawatomi Nation, Oklahoma's Ice Storm, Drought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Tom Cole (R-OK-04)</w:t>
      </w:r>
    </w:p>
    <w:p>
      <w:pPr>
        <w:pStyle w:val="HSBody"/>
      </w:pPr>
      <w:r>
        <w:rPr>
          <w:b/>
        </w:rPr>
        <w:t>Rep. Tom Cole (R-OK-04) sits on House Committee on Appropriations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Citizen Potawatomi Nation,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Citizen Potawatomi Nation,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Ice Storm risk profile</w:t>
      </w:r>
    </w:p>
    <w:p>
      <w:r>
        <w:br w:type="page"/>
      </w:r>
    </w:p>
    <w:p>
      <w:pPr>
        <w:pStyle w:val="Heading2"/>
      </w:pPr>
      <w:r>
        <w:t>Messaging Framework</w:t>
      </w:r>
    </w:p>
    <w:p>
      <w:pPr>
        <w:pStyle w:val="HSBody"/>
      </w:pPr>
      <w:r>
        <w:t>Audience-calibrated talking points for Citizen Potawatomi Nation, Oklahoma's advocacy engagements during the current congressional session.</w:t>
      </w:r>
    </w:p>
    <w:p>
      <w:pPr>
        <w:pStyle w:val="HSSection"/>
      </w:pPr>
      <w:r>
        <w:t>Core Message</w:t>
      </w:r>
    </w:p>
    <w:p>
      <w:pPr>
        <w:pStyle w:val="HSBody"/>
      </w:pPr>
      <w:r>
        <w:t>Citizen Potawatomi Nation,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Citizen Potawatomi Nation, Oklahoma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Citizen Potawatomi Nation,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