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Timbisha Shoshone Tribe</w:t>
      </w:r>
    </w:p>
    <w:p>
      <w:pPr>
        <w:pStyle w:val="HSBody"/>
      </w:pPr>
      <w:r>
        <w:t>Prepared for the offices of: 4 Senators, 2 Representatives</w:t>
      </w:r>
    </w:p>
    <w:p>
      <w:pPr>
        <w:pStyle w:val="HSBody"/>
      </w:pPr>
      <w:r>
        <w:t>State(s): CA, NV</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Timbisha Shoshone Tribe's climate risk profile and geographic context.</w:t>
      </w:r>
    </w:p>
    <w:p>
      <w:r>
        <w:br w:type="page"/>
      </w:r>
    </w:p>
    <w:p>
      <w:pPr>
        <w:pStyle w:val="Heading2"/>
      </w:pPr>
      <w:r>
        <w:t>Executive Summary</w:t>
      </w:r>
    </w:p>
    <w:p>
      <w:pPr>
        <w:pStyle w:val="HSTitle"/>
      </w:pPr>
      <w:r>
        <w:t>Timbisha Shoshone Tribe -- CA, NV</w:t>
      </w:r>
    </w:p>
    <w:p>
      <w:pPr>
        <w:pStyle w:val="HSBody"/>
      </w:pPr>
      <w:r>
        <w:t>This strategy document outlines Timbisha Shoshone Tribe's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$3,831,825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Steven Horsford (D-NV-04)</w:t>
            </w:r>
          </w:p>
        </w:tc>
        <w:tc>
          <w:tcPr>
            <w:tcW w:type="dxa" w:w="1872"/>
            <w:shd w:fill="F2F2F2" w:val="clear"/>
          </w:tcPr>
          <w:p>
            <w:r>
              <w:t>Representative</w:t>
            </w:r>
          </w:p>
        </w:tc>
        <w:tc>
          <w:tcPr>
            <w:tcW w:type="dxa" w:w="1872"/>
            <w:shd w:fill="F2F2F2" w:val="clear"/>
          </w:tcPr>
          <w:p>
            <w:r>
              <w:t>NV</w:t>
            </w:r>
          </w:p>
        </w:tc>
        <w:tc>
          <w:tcPr>
            <w:tcW w:type="dxa" w:w="1872"/>
            <w:shd w:fill="F2F2F2" w:val="clear"/>
          </w:tcPr>
          <w:p>
            <w:r>
              <w:t>4</w:t>
            </w:r>
          </w:p>
        </w:tc>
        <w:tc>
          <w:tcPr>
            <w:tcW w:type="dxa" w:w="1872"/>
            <w:shd w:fill="F2F2F2" w:val="clear"/>
          </w:tcPr>
          <w:p>
            <w:r/>
          </w:p>
        </w:tc>
      </w:tr>
      <w:tr>
        <w:tc>
          <w:tcPr>
            <w:tcW w:type="dxa" w:w="1872"/>
            <w:shd w:fill="FFFFFF" w:val="clear"/>
          </w:tcPr>
          <w:p>
            <w:r>
              <w:t>Rep. Kevin Kiley (R-CA-03)</w:t>
            </w:r>
          </w:p>
        </w:tc>
        <w:tc>
          <w:tcPr>
            <w:tcW w:type="dxa" w:w="1872"/>
            <w:shd w:fill="FFFFFF" w:val="clear"/>
          </w:tcPr>
          <w:p>
            <w:r>
              <w:t>Representative</w:t>
            </w:r>
          </w:p>
        </w:tc>
        <w:tc>
          <w:tcPr>
            <w:tcW w:type="dxa" w:w="1872"/>
            <w:shd w:fill="FFFFFF" w:val="clear"/>
          </w:tcPr>
          <w:p>
            <w:r>
              <w:t>CA</w:t>
            </w:r>
          </w:p>
        </w:tc>
        <w:tc>
          <w:tcPr>
            <w:tcW w:type="dxa" w:w="1872"/>
            <w:shd w:fill="FFFFFF" w:val="clear"/>
          </w:tcPr>
          <w:p>
            <w:r>
              <w:t>3</w:t>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Timbisha Shoshone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Timbisha Shoshone Tribe's wildfire risk profile reinforces the economic case for continued federal investment in FEMA BRIC.</w:t>
      </w:r>
    </w:p>
    <w:p>
      <w:pPr>
        <w:pStyle w:val="HSBody"/>
      </w:pPr>
      <w:r>
        <w:t>Per-District Impact Allocation:</w:t>
      </w:r>
    </w:p>
    <w:p>
      <w:pPr>
        <w:pStyle w:val="HSBody"/>
      </w:pPr>
      <w:r>
        <w:t xml:space="preserve">  NV-04 (75% overlap): $674,100 - $898,800</w:t>
      </w:r>
    </w:p>
    <w:p>
      <w:pPr>
        <w:pStyle w:val="HSBody"/>
      </w:pPr>
      <w:r>
        <w:t xml:space="preserve">  CA-03 (25% overlap): $225,900 - $301,200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Timbisha Shoshone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Timbisha Shoshone Tribe's wildfire risk profile reinforces the economic case for continued federal investment in BIA Tribal Climate Resilience.</w:t>
      </w:r>
    </w:p>
    <w:p>
      <w:pPr>
        <w:pStyle w:val="HSBody"/>
      </w:pPr>
      <w:r>
        <w:t>Per-District Impact Allocation:</w:t>
      </w:r>
    </w:p>
    <w:p>
      <w:pPr>
        <w:pStyle w:val="HSBody"/>
      </w:pPr>
      <w:r>
        <w:t xml:space="preserve">  NV-04 (75% overlap): $202,230 - $269,640</w:t>
      </w:r>
    </w:p>
    <w:p>
      <w:pPr>
        <w:pStyle w:val="HSBody"/>
      </w:pPr>
      <w:r>
        <w:t xml:space="preserve">  CA-03 (25% overlap): $67,770 - $90,360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Timbisha Shoshone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Timbisha Shoshone Tribe's wildfire risk profile reinforces the economic case for continued federal investment in IRS Elective Pay.</w:t>
      </w:r>
    </w:p>
    <w:p>
      <w:pPr>
        <w:pStyle w:val="HSBody"/>
      </w:pPr>
      <w:r>
        <w:t>Per-District Impact Allocation:</w:t>
      </w:r>
    </w:p>
    <w:p>
      <w:pPr>
        <w:pStyle w:val="HSBody"/>
      </w:pPr>
      <w:r>
        <w:t xml:space="preserve">  NV-04 (75% overlap): $269,640 - $359,520</w:t>
      </w:r>
    </w:p>
    <w:p>
      <w:pPr>
        <w:pStyle w:val="HSBody"/>
      </w:pPr>
      <w:r>
        <w:t xml:space="preserve">  CA-03 (25% overlap): $90,360 - $120,480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Timbisha Shoshone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Timbisha Shoshone Tribe's wildfire risk profile reinforces the economic case for continued federal investment in FEMA Tribal Mitigation Plans.</w:t>
      </w:r>
    </w:p>
    <w:p>
      <w:pPr>
        <w:pStyle w:val="HSBody"/>
      </w:pPr>
      <w:r>
        <w:t>Per-District Impact Allocation:</w:t>
      </w:r>
    </w:p>
    <w:p>
      <w:pPr>
        <w:pStyle w:val="HSBody"/>
      </w:pPr>
      <w:r>
        <w:t xml:space="preserve">  NV-04 (75% overlap): $404,460 - $539,280</w:t>
      </w:r>
    </w:p>
    <w:p>
      <w:pPr>
        <w:pStyle w:val="HSBody"/>
      </w:pPr>
      <w:r>
        <w:t xml:space="preserve">  CA-03 (25% overlap): $135,540 - $180,720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Timbisha Shoshone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Timbisha Shoshone Tribe's wildfire risk profile reinforces the economic case for continued federal investment in USDA Wildfire Defense Grants.</w:t>
      </w:r>
    </w:p>
    <w:p>
      <w:pPr>
        <w:pStyle w:val="HSBody"/>
      </w:pPr>
      <w:r>
        <w:t>Per-District Impact Allocation:</w:t>
      </w:r>
    </w:p>
    <w:p>
      <w:pPr>
        <w:pStyle w:val="HSBody"/>
      </w:pPr>
      <w:r>
        <w:t xml:space="preserve">  NV-04 (75% overlap): $471,870 - $629,160</w:t>
      </w:r>
    </w:p>
    <w:p>
      <w:pPr>
        <w:pStyle w:val="HSBody"/>
      </w:pPr>
      <w:r>
        <w:t xml:space="preserve">  CA-03 (25% overlap): $158,130 - $210,840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$348,515</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$219,400</w:t>
            </w:r>
          </w:p>
        </w:tc>
        <w:tc>
          <w:tcPr>
            <w:tcW w:type="dxa" w:w="2340"/>
            <w:shd w:fill="FFFFFF" w:val="clear"/>
          </w:tcPr>
          <w:p>
            <w:r>
              <w:t>2024-10-01 - 2026-09-30</w:t>
            </w:r>
          </w:p>
        </w:tc>
      </w:tr>
    </w:tbl>
    <w:p>
      <w:pPr>
        <w:pStyle w:val="HSBody"/>
      </w:pPr>
      <w:r>
        <w:rPr>
          <w:b/>
        </w:rPr>
        <w:t>Total: $567,915</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EPA GAP funding to Timbisha Shoshone Tribe generated an estimated $1,022,247-$1,362,996 in regional economic activity (BEA RIMS II methodology, output multiplier range 1.8-2.4x), supporting approximately 5-9 jobs (BLS employment requirements methodology).</w:t>
      </w:r>
    </w:p>
    <w:p>
      <w:pPr>
        <w:pStyle w:val="HSBody"/>
      </w:pPr>
      <w:r>
        <w:t>Hazard Alignment: Timbisha Shoshone Tribe's wildfire risk profile reinforces the economic case for continued federal investment in EPA GAP.</w:t>
      </w:r>
    </w:p>
    <w:p>
      <w:pPr>
        <w:pStyle w:val="HSBody"/>
      </w:pPr>
      <w:r>
        <w:t>Per-District Impact Allocation:</w:t>
      </w:r>
    </w:p>
    <w:p>
      <w:pPr>
        <w:pStyle w:val="HSBody"/>
      </w:pPr>
      <w:r>
        <w:t xml:space="preserve">  NV-04 (75% overlap): $765,663 - $1,020,884</w:t>
      </w:r>
    </w:p>
    <w:p>
      <w:pPr>
        <w:pStyle w:val="HSBody"/>
      </w:pPr>
      <w:r>
        <w:t xml:space="preserve">  CA-03 (25% overlap): $256,584 - $342,112</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EPA GAP funding to Timbisha Shoshone Tribe generated an estimated $1,022,247-$1,362,996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Timbisha Shoshone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Timbisha Shoshone Tribe's wildfire risk profile reinforces the economic case for continued federal investment in DOT PROTECT.</w:t>
      </w:r>
    </w:p>
    <w:p>
      <w:pPr>
        <w:pStyle w:val="HSBody"/>
      </w:pPr>
      <w:r>
        <w:t>Per-District Impact Allocation:</w:t>
      </w:r>
    </w:p>
    <w:p>
      <w:pPr>
        <w:pStyle w:val="HSBody"/>
      </w:pPr>
      <w:r>
        <w:t xml:space="preserve">  NV-04 (75% overlap): $337,050 - $449,400</w:t>
      </w:r>
    </w:p>
    <w:p>
      <w:pPr>
        <w:pStyle w:val="HSBody"/>
      </w:pPr>
      <w:r>
        <w:t xml:space="preserve">  CA-03 (25% overlap): $112,950 - $150,600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Timbisha Shoshone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Timbisha Shoshone Tribe's wildfire risk profile reinforces the economic case for continued federal investment in EPA STAG.</w:t>
      </w:r>
    </w:p>
    <w:p>
      <w:pPr>
        <w:pStyle w:val="HSBody"/>
      </w:pPr>
      <w:r>
        <w:t>Per-District Impact Allocation:</w:t>
      </w:r>
    </w:p>
    <w:p>
      <w:pPr>
        <w:pStyle w:val="HSBody"/>
      </w:pPr>
      <w:r>
        <w:t xml:space="preserve">  NV-04 (75% overlap): $134,820 - $179,760</w:t>
      </w:r>
    </w:p>
    <w:p>
      <w:pPr>
        <w:pStyle w:val="HSBody"/>
      </w:pPr>
      <w:r>
        <w:t xml:space="preserve">  CA-03 (25% overlap): $45,180 - $60,240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Timbisha Shoshone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Timbisha Shoshone Tribe's wildfire risk profile reinforces the economic case for continued federal investment in DOE Indian Energy.</w:t>
      </w:r>
    </w:p>
    <w:p>
      <w:pPr>
        <w:pStyle w:val="HSBody"/>
      </w:pPr>
      <w:r>
        <w:t>Per-District Impact Allocation:</w:t>
      </w:r>
    </w:p>
    <w:p>
      <w:pPr>
        <w:pStyle w:val="HSBody"/>
      </w:pPr>
      <w:r>
        <w:t xml:space="preserve">  NV-04 (75% overlap): $269,640 - $359,520</w:t>
      </w:r>
    </w:p>
    <w:p>
      <w:pPr>
        <w:pStyle w:val="HSBody"/>
      </w:pPr>
      <w:r>
        <w:t xml:space="preserve">  CA-03 (25% overlap): $90,360 - $120,480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$3,263,910</w:t>
            </w:r>
          </w:p>
        </w:tc>
        <w:tc>
          <w:tcPr>
            <w:tcW w:type="dxa" w:w="2340"/>
            <w:shd w:fill="F2F2F2" w:val="clear"/>
          </w:tcPr>
          <w:p>
            <w:r>
              <w:t>2011-10-18 - 2034-09-30</w:t>
            </w:r>
          </w:p>
        </w:tc>
      </w:tr>
    </w:tbl>
    <w:p>
      <w:pPr>
        <w:pStyle w:val="HSBody"/>
      </w:pPr>
      <w:r>
        <w:rPr>
          <w:b/>
        </w:rPr>
        <w:t>Total: $3,263,910</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HUD IHBG funding to Timbisha Shoshone Tribe generated an estimated $5,875,038-$7,833,384 in regional economic activity (BEA RIMS II methodology, output multiplier range 1.8-2.4x), supporting approximately 26-49 jobs (BLS employment requirements methodology).</w:t>
      </w:r>
    </w:p>
    <w:p>
      <w:pPr>
        <w:pStyle w:val="HSBody"/>
      </w:pPr>
      <w:r>
        <w:t>Hazard Alignment: Timbisha Shoshone Tribe's wildfire risk profile reinforces the economic case for continued federal investment in HUD IHBG.</w:t>
      </w:r>
    </w:p>
    <w:p>
      <w:pPr>
        <w:pStyle w:val="HSBody"/>
      </w:pPr>
      <w:r>
        <w:t>Per-District Impact Allocation:</w:t>
      </w:r>
    </w:p>
    <w:p>
      <w:pPr>
        <w:pStyle w:val="HSBody"/>
      </w:pPr>
      <w:r>
        <w:t xml:space="preserve">  NV-04 (75% overlap): $4,400,403 - $5,867,205</w:t>
      </w:r>
    </w:p>
    <w:p>
      <w:pPr>
        <w:pStyle w:val="HSBody"/>
      </w:pPr>
      <w:r>
        <w:t xml:space="preserve">  CA-03 (25% overlap): $1,474,635 - $1,966,179</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HUD IHBG funding to Timbisha Shoshone Tribe generated an estimated $5,875,038-$7,833,384 in regional economic activity (BEA RIMS II methodology, output multiplier range 1.8-2.4x), supporting approximately 26-49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Timbisha Shoshone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Timbisha Shoshone Tribe's wildfire risk profile reinforces the economic case for continued federal investment in NOAA Tribal Grants.</w:t>
      </w:r>
    </w:p>
    <w:p>
      <w:pPr>
        <w:pStyle w:val="HSBody"/>
      </w:pPr>
      <w:r>
        <w:t>Per-District Impact Allocation:</w:t>
      </w:r>
    </w:p>
    <w:p>
      <w:pPr>
        <w:pStyle w:val="HSBody"/>
      </w:pPr>
      <w:r>
        <w:t xml:space="preserve">  NV-04 (75% overlap): $202,230 - $269,640</w:t>
      </w:r>
    </w:p>
    <w:p>
      <w:pPr>
        <w:pStyle w:val="HSBody"/>
      </w:pPr>
      <w:r>
        <w:t xml:space="preserve">  CA-03 (25% overlap): $67,770 - $90,360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Timbisha Shoshone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Timbisha Shoshone Tribe's wildfire risk profile reinforces the economic case for continued federal investment in Tribal Community Resilience Annual Awards.</w:t>
      </w:r>
    </w:p>
    <w:p>
      <w:pPr>
        <w:pStyle w:val="HSBody"/>
      </w:pPr>
      <w:r>
        <w:t>Per-District Impact Allocation:</w:t>
      </w:r>
    </w:p>
    <w:p>
      <w:pPr>
        <w:pStyle w:val="HSBody"/>
      </w:pPr>
      <w:r>
        <w:t xml:space="preserve">  NV-04 (75% overlap): $134,820 - $179,760</w:t>
      </w:r>
    </w:p>
    <w:p>
      <w:pPr>
        <w:pStyle w:val="HSBody"/>
      </w:pPr>
      <w:r>
        <w:t xml:space="preserve">  CA-03 (25% overlap): $45,180 - $60,240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Timbisha Shoshone Tribe's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79.1)</w:t>
      </w:r>
    </w:p>
    <w:p>
      <w:pPr>
        <w:pStyle w:val="HSBody"/>
      </w:pPr>
      <w:r>
        <w:t>Social Vulnerability: Relatively Moderate (Score: 47.0)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92.3</w:t>
            </w:r>
          </w:p>
        </w:tc>
        <w:tc>
          <w:tcPr>
            <w:tcW w:type="dxa" w:w="2340"/>
            <w:shd w:fill="F2F2F2" w:val="clear"/>
          </w:tcPr>
          <w:p>
            <w:r>
              <w:t>Very High</w:t>
            </w:r>
          </w:p>
        </w:tc>
        <w:tc>
          <w:tcPr>
            <w:tcW w:type="dxa" w:w="2340"/>
            <w:shd w:fill="F2F2F2" w:val="clear"/>
          </w:tcPr>
          <w:p>
            <w:r>
              <w:t>$25,918,893</w:t>
            </w:r>
          </w:p>
        </w:tc>
      </w:tr>
      <w:tr>
        <w:tc>
          <w:tcPr>
            <w:tcW w:type="dxa" w:w="2340"/>
            <w:shd w:fill="FFFFFF" w:val="clear"/>
          </w:tcPr>
          <w:p>
            <w:r>
              <w:t>Earthquake</w:t>
            </w:r>
          </w:p>
        </w:tc>
        <w:tc>
          <w:tcPr>
            <w:tcW w:type="dxa" w:w="2340"/>
            <w:shd w:fill="FFFFFF" w:val="clear"/>
          </w:tcPr>
          <w:p>
            <w:r>
              <w:t>90.3</w:t>
            </w:r>
          </w:p>
        </w:tc>
        <w:tc>
          <w:tcPr>
            <w:tcW w:type="dxa" w:w="2340"/>
            <w:shd w:fill="FFFFFF" w:val="clear"/>
          </w:tcPr>
          <w:p>
            <w:r>
              <w:t>Very High</w:t>
            </w:r>
          </w:p>
        </w:tc>
        <w:tc>
          <w:tcPr>
            <w:tcW w:type="dxa" w:w="2340"/>
            <w:shd w:fill="FFFFFF" w:val="clear"/>
          </w:tcPr>
          <w:p>
            <w:r>
              <w:t>$202,925,409</w:t>
            </w:r>
          </w:p>
        </w:tc>
      </w:tr>
      <w:tr>
        <w:tc>
          <w:tcPr>
            <w:tcW w:type="dxa" w:w="2340"/>
            <w:shd w:fill="F2F2F2" w:val="clear"/>
          </w:tcPr>
          <w:p>
            <w:r>
              <w:t>Landslide</w:t>
            </w:r>
          </w:p>
        </w:tc>
        <w:tc>
          <w:tcPr>
            <w:tcW w:type="dxa" w:w="2340"/>
            <w:shd w:fill="F2F2F2" w:val="clear"/>
          </w:tcPr>
          <w:p>
            <w:r>
              <w:t>81.6</w:t>
            </w:r>
          </w:p>
        </w:tc>
        <w:tc>
          <w:tcPr>
            <w:tcW w:type="dxa" w:w="2340"/>
            <w:shd w:fill="F2F2F2" w:val="clear"/>
          </w:tcPr>
          <w:p>
            <w:r>
              <w:t>Very High</w:t>
            </w:r>
          </w:p>
        </w:tc>
        <w:tc>
          <w:tcPr>
            <w:tcW w:type="dxa" w:w="2340"/>
            <w:shd w:fill="F2F2F2" w:val="clear"/>
          </w:tcPr>
          <w:p>
            <w:r>
              <w:t>$1,736,218</w:t>
            </w:r>
          </w:p>
        </w:tc>
      </w:tr>
      <w:tr>
        <w:tc>
          <w:tcPr>
            <w:tcW w:type="dxa" w:w="2340"/>
            <w:shd w:fill="FFFFFF" w:val="clear"/>
          </w:tcPr>
          <w:p>
            <w:r>
              <w:t>Inland Flooding</w:t>
            </w:r>
          </w:p>
        </w:tc>
        <w:tc>
          <w:tcPr>
            <w:tcW w:type="dxa" w:w="2340"/>
            <w:shd w:fill="FFFFFF" w:val="clear"/>
          </w:tcPr>
          <w:p>
            <w:r>
              <w:t>75.8</w:t>
            </w:r>
          </w:p>
        </w:tc>
        <w:tc>
          <w:tcPr>
            <w:tcW w:type="dxa" w:w="2340"/>
            <w:shd w:fill="FFFFFF" w:val="clear"/>
          </w:tcPr>
          <w:p>
            <w:r>
              <w:t>Relatively High</w:t>
            </w:r>
          </w:p>
        </w:tc>
        <w:tc>
          <w:tcPr>
            <w:tcW w:type="dxa" w:w="2340"/>
            <w:shd w:fill="FFFFFF" w:val="clear"/>
          </w:tcPr>
          <w:p>
            <w:r>
              <w:t>$162,390,867</w:t>
            </w:r>
          </w:p>
        </w:tc>
      </w:tr>
      <w:tr>
        <w:tc>
          <w:tcPr>
            <w:tcW w:type="dxa" w:w="2340"/>
            <w:shd w:fill="F2F2F2" w:val="clear"/>
          </w:tcPr>
          <w:p>
            <w:r>
              <w:t>Drought</w:t>
            </w:r>
          </w:p>
        </w:tc>
        <w:tc>
          <w:tcPr>
            <w:tcW w:type="dxa" w:w="2340"/>
            <w:shd w:fill="F2F2F2" w:val="clear"/>
          </w:tcPr>
          <w:p>
            <w:r>
              <w:t>73.8</w:t>
            </w:r>
          </w:p>
        </w:tc>
        <w:tc>
          <w:tcPr>
            <w:tcW w:type="dxa" w:w="2340"/>
            <w:shd w:fill="F2F2F2" w:val="clear"/>
          </w:tcPr>
          <w:p>
            <w:r>
              <w:t>Relatively High</w:t>
            </w:r>
          </w:p>
        </w:tc>
        <w:tc>
          <w:tcPr>
            <w:tcW w:type="dxa" w:w="2340"/>
            <w:shd w:fill="F2F2F2" w:val="clear"/>
          </w:tcPr>
          <w:p>
            <w:r>
              <w:t>$13,429,738</w:t>
            </w:r>
          </w:p>
        </w:tc>
      </w:tr>
    </w:tbl>
    <w:p>
      <w:pPr>
        <w:pStyle w:val="HSSection"/>
      </w:pPr>
      <w:r>
        <w:t>Hazard-to-Program Alignment</w:t>
      </w:r>
    </w:p>
    <w:p>
      <w:pPr>
        <w:pStyle w:val="HSBody"/>
      </w:pPr>
      <w:r>
        <w:t>Timbisha Shoshone Tribe's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Timbisha Shoshone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Timbisha Shoshone Tribe's advocacy engagements during the current congressional session.</w:t>
      </w:r>
    </w:p>
    <w:p>
      <w:pPr>
        <w:pStyle w:val="HSSection"/>
      </w:pPr>
      <w:r>
        <w:t>Core Message</w:t>
      </w:r>
    </w:p>
    <w:p>
      <w:pPr>
        <w:pStyle w:val="HSBody"/>
      </w:pPr>
      <w:r>
        <w:t>Timbisha Shoshone Tribe faces significant wildfire risk. Congress has funded programs that address this risk, but administrative delivery gaps and structural barriers prevent these resources from reaching Tribal communities in CA,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Timbisha Shoshone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Timbisha Shoshone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