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Kickapoo Tribe of Indians of the Kickapoo Reservation in Kansas</w:t>
      </w:r>
    </w:p>
    <w:p>
      <w:pPr>
        <w:pStyle w:val="HSBody"/>
      </w:pPr>
      <w:r>
        <w:t>Prepared for the offices of: 6 Senators, 3 Representatives</w:t>
      </w:r>
    </w:p>
    <w:p>
      <w:pPr>
        <w:pStyle w:val="HSBody"/>
      </w:pPr>
      <w:r>
        <w:t>State(s): KS</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DOT PROTECT</w:t>
      </w:r>
      <w:r>
        <w:t xml:space="preserve">  </w:t>
      </w:r>
      <w:r>
        <w:rPr>
          <w:color w:val="4B5563"/>
          <w:sz w:val="16"/>
        </w:rPr>
        <w:t>[Secure]</w:t>
      </w:r>
    </w:p>
    <w:p>
      <w:pPr>
        <w:pStyle w:val="HSBody"/>
      </w:pPr>
      <w:r>
        <w:t>12. EPA STAG</w:t>
      </w:r>
      <w:r>
        <w:t xml:space="preserve">  </w:t>
      </w:r>
      <w:r>
        <w:rPr>
          <w:color w:val="4B5563"/>
          <w:sz w:val="16"/>
        </w:rPr>
        <w:t>[Stable]</w:t>
      </w:r>
    </w:p>
    <w:p>
      <w:pPr>
        <w:pStyle w:val="HSBody"/>
      </w:pPr>
      <w:r>
        <w:t>This packet contains 12 program analyses tailored to Kickapoo Tribe of Indians of the Kickapoo Reservation in Kansas's climate risk profile and geographic context.</w:t>
      </w:r>
    </w:p>
    <w:p>
      <w:r>
        <w:br w:type="page"/>
      </w:r>
    </w:p>
    <w:p>
      <w:pPr>
        <w:pStyle w:val="Heading2"/>
      </w:pPr>
      <w:r>
        <w:t>Executive Summary</w:t>
      </w:r>
    </w:p>
    <w:p>
      <w:pPr>
        <w:pStyle w:val="HSTitle"/>
      </w:pPr>
      <w:r>
        <w:t>Kickapoo Tribe of Indians of the Kickapoo Reservation in Kansas -- KS</w:t>
      </w:r>
    </w:p>
    <w:p>
      <w:pPr>
        <w:pStyle w:val="HSBody"/>
      </w:pPr>
      <w:r>
        <w:t>This strategy document outlines Kickapoo Tribe of Indians of the Kickapoo Reservation in Kansas's federal climate resilience funding landscape, identifies strategic leverage points across key programs, and recommends sequenced advocacy actions for the current congressional session.</w:t>
      </w:r>
    </w:p>
    <w:p>
      <w:pPr>
        <w:pStyle w:val="HSBody"/>
      </w:pPr>
      <w:r>
        <w:t>Top Climate Hazards: Hail, Drought, Ice Storm</w:t>
      </w:r>
    </w:p>
    <w:p>
      <w:pPr>
        <w:pStyle w:val="HSBody"/>
      </w:pPr>
      <w:r>
        <w:t>Total Federal Climate Resilience Funding: $14,674,977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Jerry Moran (R-KS)</w:t>
            </w:r>
          </w:p>
        </w:tc>
        <w:tc>
          <w:tcPr>
            <w:tcW w:type="dxa" w:w="1872"/>
            <w:shd w:fill="F2F2F2" w:val="clear"/>
          </w:tcPr>
          <w:p>
            <w:r>
              <w:t>Senator</w:t>
            </w:r>
          </w:p>
        </w:tc>
        <w:tc>
          <w:tcPr>
            <w:tcW w:type="dxa" w:w="1872"/>
            <w:shd w:fill="F2F2F2" w:val="clear"/>
          </w:tcPr>
          <w:p>
            <w:r>
              <w:t>KS</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w:t>
            </w:r>
          </w:p>
        </w:tc>
      </w:tr>
      <w:tr>
        <w:tc>
          <w:tcPr>
            <w:tcW w:type="dxa" w:w="1872"/>
            <w:shd w:fill="FFFFFF" w:val="clear"/>
          </w:tcPr>
          <w:p>
            <w:r>
              <w:t>Sen. Roger Marshall (R-KS)</w:t>
            </w:r>
          </w:p>
        </w:tc>
        <w:tc>
          <w:tcPr>
            <w:tcW w:type="dxa" w:w="1872"/>
            <w:shd w:fill="FFFFFF" w:val="clear"/>
          </w:tcPr>
          <w:p>
            <w:r>
              <w:t>Senator</w:t>
            </w:r>
          </w:p>
        </w:tc>
        <w:tc>
          <w:tcPr>
            <w:tcW w:type="dxa" w:w="1872"/>
            <w:shd w:fill="FFFFFF" w:val="clear"/>
          </w:tcPr>
          <w:p>
            <w:r>
              <w:t>KS</w:t>
            </w:r>
          </w:p>
        </w:tc>
        <w:tc>
          <w:tcPr>
            <w:tcW w:type="dxa" w:w="1872"/>
            <w:shd w:fill="FFFFFF" w:val="clear"/>
          </w:tcPr>
          <w:p>
            <w:r>
              <w:t>At-Large</w:t>
            </w:r>
          </w:p>
        </w:tc>
        <w:tc>
          <w:tcPr>
            <w:tcW w:type="dxa" w:w="1872"/>
            <w:shd w:fill="FFFFFF" w:val="clear"/>
          </w:tcPr>
          <w:p>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Sen. Ted Cruz (R-TX)</w:t>
            </w:r>
          </w:p>
        </w:tc>
        <w:tc>
          <w:tcPr>
            <w:tcW w:type="dxa" w:w="1872"/>
            <w:shd w:fill="F2F2F2" w:val="clear"/>
          </w:tcPr>
          <w:p>
            <w:r>
              <w:t>Senator</w:t>
            </w:r>
          </w:p>
        </w:tc>
        <w:tc>
          <w:tcPr>
            <w:tcW w:type="dxa" w:w="1872"/>
            <w:shd w:fill="F2F2F2" w:val="clear"/>
          </w:tcPr>
          <w:p>
            <w:r>
              <w:t>TX</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John Cornyn (R-TX)</w:t>
            </w:r>
          </w:p>
        </w:tc>
        <w:tc>
          <w:tcPr>
            <w:tcW w:type="dxa" w:w="1872"/>
            <w:shd w:fill="FFFFFF" w:val="clear"/>
          </w:tcPr>
          <w:p>
            <w:r>
              <w:t>Senator</w:t>
            </w:r>
          </w:p>
        </w:tc>
        <w:tc>
          <w:tcPr>
            <w:tcW w:type="dxa" w:w="1872"/>
            <w:shd w:fill="FFFFFF" w:val="clear"/>
          </w:tcPr>
          <w:p>
            <w:r>
              <w:t>TX</w:t>
            </w:r>
          </w:p>
        </w:tc>
        <w:tc>
          <w:tcPr>
            <w:tcW w:type="dxa" w:w="1872"/>
            <w:shd w:fill="FFFFFF" w:val="clear"/>
          </w:tcPr>
          <w:p>
            <w:r>
              <w:t>At-Large</w:t>
            </w:r>
          </w:p>
        </w:tc>
        <w:tc>
          <w:tcPr>
            <w:tcW w:type="dxa" w:w="1872"/>
            <w:shd w:fill="FFFFFF" w:val="clear"/>
          </w:tcPr>
          <w:p>
            <w:r/>
          </w:p>
        </w:tc>
      </w:tr>
      <w:tr>
        <w:tc>
          <w:tcPr>
            <w:tcW w:type="dxa" w:w="1872"/>
            <w:shd w:fill="F2F2F2" w:val="clear"/>
          </w:tcPr>
          <w:p>
            <w:r>
              <w:t>Rep. Derek Schmidt (R-KS-02)</w:t>
            </w:r>
          </w:p>
        </w:tc>
        <w:tc>
          <w:tcPr>
            <w:tcW w:type="dxa" w:w="1872"/>
            <w:shd w:fill="F2F2F2" w:val="clear"/>
          </w:tcPr>
          <w:p>
            <w:r>
              <w:t>Representative</w:t>
            </w:r>
          </w:p>
        </w:tc>
        <w:tc>
          <w:tcPr>
            <w:tcW w:type="dxa" w:w="1872"/>
            <w:shd w:fill="F2F2F2" w:val="clear"/>
          </w:tcPr>
          <w:p>
            <w:r>
              <w:t>KS</w:t>
            </w:r>
          </w:p>
        </w:tc>
        <w:tc>
          <w:tcPr>
            <w:tcW w:type="dxa" w:w="1872"/>
            <w:shd w:fill="F2F2F2" w:val="clear"/>
          </w:tcPr>
          <w:p>
            <w:r>
              <w:t>2</w:t>
            </w:r>
          </w:p>
        </w:tc>
        <w:tc>
          <w:tcPr>
            <w:tcW w:type="dxa" w:w="1872"/>
            <w:shd w:fill="F2F2F2" w:val="clear"/>
          </w:tcPr>
          <w:p>
            <w:r/>
          </w:p>
        </w:tc>
      </w:tr>
      <w:tr>
        <w:tc>
          <w:tcPr>
            <w:tcW w:type="dxa" w:w="1872"/>
            <w:shd w:fill="FFFFFF" w:val="clear"/>
          </w:tcPr>
          <w:p>
            <w:r>
              <w:t>Rep. Stephanie I. Bice (R-OK-05)</w:t>
            </w:r>
          </w:p>
        </w:tc>
        <w:tc>
          <w:tcPr>
            <w:tcW w:type="dxa" w:w="1872"/>
            <w:shd w:fill="FFFFFF" w:val="clear"/>
          </w:tcPr>
          <w:p>
            <w:r>
              <w:t>Representative</w:t>
            </w:r>
          </w:p>
        </w:tc>
        <w:tc>
          <w:tcPr>
            <w:tcW w:type="dxa" w:w="1872"/>
            <w:shd w:fill="FFFFFF" w:val="clear"/>
          </w:tcPr>
          <w:p>
            <w:r>
              <w:t>OK</w:t>
            </w:r>
          </w:p>
        </w:tc>
        <w:tc>
          <w:tcPr>
            <w:tcW w:type="dxa" w:w="1872"/>
            <w:shd w:fill="FFFFFF" w:val="clear"/>
          </w:tcPr>
          <w:p>
            <w:r>
              <w:t>5</w:t>
            </w:r>
          </w:p>
        </w:tc>
        <w:tc>
          <w:tcPr>
            <w:tcW w:type="dxa" w:w="1872"/>
            <w:shd w:fill="FFFFFF" w:val="clear"/>
          </w:tcPr>
          <w:p>
            <w:r>
              <w:t>House Committee on Appropriations; Transportation, Housing and Urban Development, and Related Agencies</w:t>
            </w:r>
          </w:p>
        </w:tc>
      </w:tr>
      <w:tr>
        <w:tc>
          <w:tcPr>
            <w:tcW w:type="dxa" w:w="1872"/>
            <w:shd w:fill="F2F2F2" w:val="clear"/>
          </w:tcPr>
          <w:p>
            <w:r>
              <w:t>Rep. Tony Gonzales (R-TX-23)</w:t>
            </w:r>
          </w:p>
        </w:tc>
        <w:tc>
          <w:tcPr>
            <w:tcW w:type="dxa" w:w="1872"/>
            <w:shd w:fill="F2F2F2" w:val="clear"/>
          </w:tcPr>
          <w:p>
            <w:r>
              <w:t>Representative</w:t>
            </w:r>
          </w:p>
        </w:tc>
        <w:tc>
          <w:tcPr>
            <w:tcW w:type="dxa" w:w="1872"/>
            <w:shd w:fill="F2F2F2" w:val="clear"/>
          </w:tcPr>
          <w:p>
            <w:r>
              <w:t>TX</w:t>
            </w:r>
          </w:p>
        </w:tc>
        <w:tc>
          <w:tcPr>
            <w:tcW w:type="dxa" w:w="1872"/>
            <w:shd w:fill="F2F2F2" w:val="clear"/>
          </w:tcPr>
          <w:p>
            <w:r>
              <w:t>23</w:t>
            </w:r>
          </w:p>
        </w:tc>
        <w:tc>
          <w:tcPr>
            <w:tcW w:type="dxa" w:w="1872"/>
            <w:shd w:fill="F2F2F2" w:val="clear"/>
          </w:tcPr>
          <w:p>
            <w:r>
              <w:t>House Committee on Appropriations; Commerce, Justice, Science, and Related Agencies; Transportation, Housing and Urban Development, and Related Agencies</w:t>
            </w:r>
          </w:p>
        </w:tc>
      </w:tr>
    </w:tbl>
    <w:p>
      <w:pPr>
        <w:pStyle w:val="HSBody"/>
      </w:pPr>
      <w:r>
        <w:t>5 members with relevant committee assignments</w:t>
      </w:r>
    </w:p>
    <w:p>
      <w:pPr>
        <w:pStyle w:val="HSSection"/>
      </w:pPr>
      <w:r>
        <w:t>Strategic Notes</w:t>
      </w:r>
    </w:p>
    <w:p>
      <w:pPr>
        <w:pStyle w:val="HSBody"/>
      </w:pPr>
      <w:r>
        <w:t>Sen. Jerry Moran (R-KS): Sits on 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 Direct influence on relevant programs.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Sen. Ted Cruz (R-TX): Sits on Senate Committee on Commerce, Science, and Transportation; Surface Transportation, Freight, Pipelines, and Safety. Direct influence on relevant programs.</w:t>
      </w:r>
    </w:p>
    <w:p>
      <w:pPr>
        <w:pStyle w:val="HSBody"/>
      </w:pPr>
      <w:r>
        <w:t>Rep. Stephanie I. Bice (R-OK-05): Sits on House Committee on Appropriations; Transportation, Housing and Urban Development, and Related Agencies. Direct influence on relevant programs.</w:t>
      </w:r>
    </w:p>
    <w:p>
      <w:pPr>
        <w:pStyle w:val="HSBody"/>
      </w:pPr>
      <w:r>
        <w:t>Rep. Tony Gonzales (R-TX-23): Sits on House Committee on Appropriations; Commerce, Justice, Science, and Related Agencies;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FEMA BRIC.</w:t>
      </w:r>
    </w:p>
    <w:p>
      <w:pPr>
        <w:pStyle w:val="HSBody"/>
      </w:pPr>
      <w:r>
        <w:t>Per-District Impact Allocation:</w:t>
      </w:r>
    </w:p>
    <w:p>
      <w:pPr>
        <w:pStyle w:val="HSBody"/>
      </w:pPr>
      <w:r>
        <w:t xml:space="preserve">  KS-02 (100% overlap): $900,000 - $1,200,000</w:t>
      </w:r>
    </w:p>
    <w:p>
      <w:pPr>
        <w:pStyle w:val="HSBody"/>
      </w:pPr>
      <w:r>
        <w:t xml:space="preserve">  OK-05 (100% overlap): $900,000 - $1,200,000</w:t>
      </w:r>
    </w:p>
    <w:p>
      <w:pPr>
        <w:pStyle w:val="HSBody"/>
      </w:pPr>
      <w:r>
        <w:t xml:space="preserve">  TX-23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BIA Tribal Climate Resilience.</w:t>
      </w:r>
    </w:p>
    <w:p>
      <w:pPr>
        <w:pStyle w:val="HSBody"/>
      </w:pPr>
      <w:r>
        <w:t>Per-District Impact Allocation:</w:t>
      </w:r>
    </w:p>
    <w:p>
      <w:pPr>
        <w:pStyle w:val="HSBody"/>
      </w:pPr>
      <w:r>
        <w:t xml:space="preserve">  KS-02 (100% overlap): $270,000 - $360,000</w:t>
      </w:r>
    </w:p>
    <w:p>
      <w:pPr>
        <w:pStyle w:val="HSBody"/>
      </w:pPr>
      <w:r>
        <w:t xml:space="preserve">  OK-05 (100% overlap): $270,000 - $360,000</w:t>
      </w:r>
    </w:p>
    <w:p>
      <w:pPr>
        <w:pStyle w:val="HSBody"/>
      </w:pPr>
      <w:r>
        <w:t xml:space="preserve">  TX-23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IRS Elective Pay.</w:t>
      </w:r>
    </w:p>
    <w:p>
      <w:pPr>
        <w:pStyle w:val="HSBody"/>
      </w:pPr>
      <w:r>
        <w:t>Per-District Impact Allocation:</w:t>
      </w:r>
    </w:p>
    <w:p>
      <w:pPr>
        <w:pStyle w:val="HSBody"/>
      </w:pPr>
      <w:r>
        <w:t xml:space="preserve">  KS-02 (100% overlap): $360,000 - $480,000</w:t>
      </w:r>
    </w:p>
    <w:p>
      <w:pPr>
        <w:pStyle w:val="HSBody"/>
      </w:pPr>
      <w:r>
        <w:t xml:space="preserve">  OK-05 (100% overlap): $360,000 - $480,000</w:t>
      </w:r>
    </w:p>
    <w:p>
      <w:pPr>
        <w:pStyle w:val="HSBody"/>
      </w:pPr>
      <w:r>
        <w:t xml:space="preserve">  TX-23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FEMA Tribal Mitigation Plans.</w:t>
      </w:r>
    </w:p>
    <w:p>
      <w:pPr>
        <w:pStyle w:val="HSBody"/>
      </w:pPr>
      <w:r>
        <w:t>Per-District Impact Allocation:</w:t>
      </w:r>
    </w:p>
    <w:p>
      <w:pPr>
        <w:pStyle w:val="HSBody"/>
      </w:pPr>
      <w:r>
        <w:t xml:space="preserve">  KS-02 (100% overlap): $540,000 - $720,000</w:t>
      </w:r>
    </w:p>
    <w:p>
      <w:pPr>
        <w:pStyle w:val="HSBody"/>
      </w:pPr>
      <w:r>
        <w:t xml:space="preserve">  OK-05 (100% overlap): $540,000 - $720,000</w:t>
      </w:r>
    </w:p>
    <w:p>
      <w:pPr>
        <w:pStyle w:val="HSBody"/>
      </w:pPr>
      <w:r>
        <w:t xml:space="preserve">  TX-23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$14,408,964</w:t>
            </w:r>
          </w:p>
        </w:tc>
        <w:tc>
          <w:tcPr>
            <w:tcW w:type="dxa" w:w="2340"/>
            <w:shd w:fill="F2F2F2" w:val="clear"/>
          </w:tcPr>
          <w:p>
            <w:r>
              <w:t>2011-10-18 - 2034-09-30</w:t>
            </w:r>
          </w:p>
        </w:tc>
      </w:tr>
    </w:tbl>
    <w:p>
      <w:pPr>
        <w:pStyle w:val="HSBody"/>
      </w:pPr>
      <w:r>
        <w:rPr>
          <w:b/>
        </w:rPr>
        <w:t>Total: $14,408,964</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HUD IHBG funding to Kickapoo Tribe of Indians of the Kickapoo Reservation in Kansas generated an estimated $25,936,135-$34,581,514 in regional economic activity (BEA RIMS II methodology, output multiplier range 1.8-2.4x), supporting approximately 115-216 jobs (BLS employment requirements methodology).</w:t>
      </w:r>
    </w:p>
    <w:p>
      <w:pPr>
        <w:pStyle w:val="HSBody"/>
      </w:pPr>
      <w:r>
        <w:t>Hazard Alignment: Kickapoo Tribe of Indians of the Kickapoo Reservation in Kansas's hail risk profile reinforces the economic case for continued federal investment in HUD IHBG.</w:t>
      </w:r>
    </w:p>
    <w:p>
      <w:pPr>
        <w:pStyle w:val="HSBody"/>
      </w:pPr>
      <w:r>
        <w:t>Per-District Impact Allocation:</w:t>
      </w:r>
    </w:p>
    <w:p>
      <w:pPr>
        <w:pStyle w:val="HSBody"/>
      </w:pPr>
      <w:r>
        <w:t xml:space="preserve">  KS-02 (100% overlap): $25,936,135 - $34,581,514</w:t>
      </w:r>
    </w:p>
    <w:p>
      <w:pPr>
        <w:pStyle w:val="HSBody"/>
      </w:pPr>
      <w:r>
        <w:t xml:space="preserve">  OK-05 (100% overlap): $25,936,135 - $34,581,514</w:t>
      </w:r>
    </w:p>
    <w:p>
      <w:pPr>
        <w:pStyle w:val="HSBody"/>
      </w:pPr>
      <w:r>
        <w:t xml:space="preserve">  TX-23 (100% overlap): $25,936,135 - $34,581,514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HUD IHBG funding to Kickapoo Tribe of Indians of the Kickapoo Reservation in Kansas generated an estimated $25,936,135-$34,581,514 in regional economic activity (BEA RIMS II methodology, output multiplier range 1.8-2.4x), supporting approximately 115-216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$125,000</w:t>
            </w:r>
          </w:p>
        </w:tc>
        <w:tc>
          <w:tcPr>
            <w:tcW w:type="dxa" w:w="2340"/>
            <w:shd w:fill="F2F2F2" w:val="clear"/>
          </w:tcPr>
          <w:p>
            <w:r>
              <w:t>2024-10-01 - 2025-09-30</w:t>
            </w:r>
          </w:p>
        </w:tc>
      </w:tr>
    </w:tbl>
    <w:p>
      <w:pPr>
        <w:pStyle w:val="HSBody"/>
      </w:pPr>
      <w:r>
        <w:rPr>
          <w:b/>
        </w:rPr>
        <w:t>Total: $125,000</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EPA GAP funding to Kickapoo Tribe of Indians of the Kickapoo Reservation in Kansas generated an estimated $225,000-$300,000 in regional economic activity (BEA RIMS II methodology, output multiplier range 1.8-2.4x), supporting approximately 1-2 jobs (BLS employment requirements methodology).</w:t>
      </w:r>
    </w:p>
    <w:p>
      <w:pPr>
        <w:pStyle w:val="HSBody"/>
      </w:pPr>
      <w:r>
        <w:t>Hazard Alignment: Kickapoo Tribe of Indians of the Kickapoo Reservation in Kansas's hail risk profile reinforces the economic case for continued federal investment in EPA GAP.</w:t>
      </w:r>
    </w:p>
    <w:p>
      <w:pPr>
        <w:pStyle w:val="HSBody"/>
      </w:pPr>
      <w:r>
        <w:t>Per-District Impact Allocation:</w:t>
      </w:r>
    </w:p>
    <w:p>
      <w:pPr>
        <w:pStyle w:val="HSBody"/>
      </w:pPr>
      <w:r>
        <w:t xml:space="preserve">  KS-02 (100% overlap): $225,000 - $300,000</w:t>
      </w:r>
    </w:p>
    <w:p>
      <w:pPr>
        <w:pStyle w:val="HSBody"/>
      </w:pPr>
      <w:r>
        <w:t xml:space="preserve">  OK-05 (100% overlap): $225,000 - $300,000</w:t>
      </w:r>
    </w:p>
    <w:p>
      <w:pPr>
        <w:pStyle w:val="HSBody"/>
      </w:pPr>
      <w:r>
        <w:t xml:space="preserve">  TX-23 (100% overlap): $225,000 - $300,000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EPA GAP funding to Kickapoo Tribe of Indians of the Kickapoo Reservation in Kansas generated an estimated $225,000-$300,000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DOE Indian Energy.</w:t>
      </w:r>
    </w:p>
    <w:p>
      <w:pPr>
        <w:pStyle w:val="HSBody"/>
      </w:pPr>
      <w:r>
        <w:t>Per-District Impact Allocation:</w:t>
      </w:r>
    </w:p>
    <w:p>
      <w:pPr>
        <w:pStyle w:val="HSBody"/>
      </w:pPr>
      <w:r>
        <w:t xml:space="preserve">  KS-02 (100% overlap): $360,000 - $480,000</w:t>
      </w:r>
    </w:p>
    <w:p>
      <w:pPr>
        <w:pStyle w:val="HSBody"/>
      </w:pPr>
      <w:r>
        <w:t xml:space="preserve">  OK-05 (100% overlap): $360,000 - $480,000</w:t>
      </w:r>
    </w:p>
    <w:p>
      <w:pPr>
        <w:pStyle w:val="HSBody"/>
      </w:pPr>
      <w:r>
        <w:t xml:space="preserve">  TX-23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USDA Wildfire Defense Grants.</w:t>
      </w:r>
    </w:p>
    <w:p>
      <w:pPr>
        <w:pStyle w:val="HSBody"/>
      </w:pPr>
      <w:r>
        <w:t>Per-District Impact Allocation:</w:t>
      </w:r>
    </w:p>
    <w:p>
      <w:pPr>
        <w:pStyle w:val="HSBody"/>
      </w:pPr>
      <w:r>
        <w:t xml:space="preserve">  KS-02 (100% overlap): $630,000 - $840,000</w:t>
      </w:r>
    </w:p>
    <w:p>
      <w:pPr>
        <w:pStyle w:val="HSBody"/>
      </w:pPr>
      <w:r>
        <w:t xml:space="preserve">  OK-05 (100% overlap): $630,000 - $840,000</w:t>
      </w:r>
    </w:p>
    <w:p>
      <w:pPr>
        <w:pStyle w:val="HSBody"/>
      </w:pPr>
      <w:r>
        <w:t xml:space="preserve">  TX-23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USBR WaterSMART.</w:t>
      </w:r>
    </w:p>
    <w:p>
      <w:pPr>
        <w:pStyle w:val="HSBody"/>
      </w:pPr>
      <w:r>
        <w:t>Per-District Impact Allocation:</w:t>
      </w:r>
    </w:p>
    <w:p>
      <w:pPr>
        <w:pStyle w:val="HSBody"/>
      </w:pPr>
      <w:r>
        <w:t xml:space="preserve">  KS-02 (100% overlap): $450,000 - $600,000</w:t>
      </w:r>
    </w:p>
    <w:p>
      <w:pPr>
        <w:pStyle w:val="HSBody"/>
      </w:pPr>
      <w:r>
        <w:t xml:space="preserve">  OK-05 (100% overlap): $450,000 - $600,000</w:t>
      </w:r>
    </w:p>
    <w:p>
      <w:pPr>
        <w:pStyle w:val="HSBody"/>
      </w:pPr>
      <w:r>
        <w:t xml:space="preserve">  TX-23 (100% overlap): $450,000 - $600,000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USBR TAP.</w:t>
      </w:r>
    </w:p>
    <w:p>
      <w:pPr>
        <w:pStyle w:val="HSBody"/>
      </w:pPr>
      <w:r>
        <w:t>Per-District Impact Allocation:</w:t>
      </w:r>
    </w:p>
    <w:p>
      <w:pPr>
        <w:pStyle w:val="HSBody"/>
      </w:pPr>
      <w:r>
        <w:t xml:space="preserve">  KS-02 (100% overlap): $216,000 - $288,000</w:t>
      </w:r>
    </w:p>
    <w:p>
      <w:pPr>
        <w:pStyle w:val="HSBody"/>
      </w:pPr>
      <w:r>
        <w:t xml:space="preserve">  OK-05 (100% overlap): $216,000 - $288,000</w:t>
      </w:r>
    </w:p>
    <w:p>
      <w:pPr>
        <w:pStyle w:val="HSBody"/>
      </w:pPr>
      <w:r>
        <w:t xml:space="preserve">  TX-23 (100% overlap): $216,000 - $288,000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DOT PROTECT.</w:t>
      </w:r>
    </w:p>
    <w:p>
      <w:pPr>
        <w:pStyle w:val="HSBody"/>
      </w:pPr>
      <w:r>
        <w:t>Per-District Impact Allocation:</w:t>
      </w:r>
    </w:p>
    <w:p>
      <w:pPr>
        <w:pStyle w:val="HSBody"/>
      </w:pPr>
      <w:r>
        <w:t xml:space="preserve">  KS-02 (100% overlap): $450,000 - $600,000</w:t>
      </w:r>
    </w:p>
    <w:p>
      <w:pPr>
        <w:pStyle w:val="HSBody"/>
      </w:pPr>
      <w:r>
        <w:t xml:space="preserve">  OK-05 (100% overlap): $450,000 - $600,000</w:t>
      </w:r>
    </w:p>
    <w:p>
      <w:pPr>
        <w:pStyle w:val="HSBody"/>
      </w:pPr>
      <w:r>
        <w:t xml:space="preserve">  TX-23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EPA STAG.</w:t>
      </w:r>
    </w:p>
    <w:p>
      <w:pPr>
        <w:pStyle w:val="HSBody"/>
      </w:pPr>
      <w:r>
        <w:t>Per-District Impact Allocation:</w:t>
      </w:r>
    </w:p>
    <w:p>
      <w:pPr>
        <w:pStyle w:val="HSBody"/>
      </w:pPr>
      <w:r>
        <w:t xml:space="preserve">  KS-02 (100% overlap): $180,000 - $240,000</w:t>
      </w:r>
    </w:p>
    <w:p>
      <w:pPr>
        <w:pStyle w:val="HSBody"/>
      </w:pPr>
      <w:r>
        <w:t xml:space="preserve">  OK-05 (100% overlap): $180,000 - $240,000</w:t>
      </w:r>
    </w:p>
    <w:p>
      <w:pPr>
        <w:pStyle w:val="HSBody"/>
      </w:pPr>
      <w:r>
        <w:t xml:space="preserve">  TX-23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29.9)</w:t>
      </w:r>
    </w:p>
    <w:p>
      <w:pPr>
        <w:pStyle w:val="HSBody"/>
      </w:pPr>
      <w:r>
        <w:t>Social Vulnerability: Relatively Low (Score: 33.5)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74.1</w:t>
            </w:r>
          </w:p>
        </w:tc>
        <w:tc>
          <w:tcPr>
            <w:tcW w:type="dxa" w:w="2340"/>
            <w:shd w:fill="F2F2F2" w:val="clear"/>
          </w:tcPr>
          <w:p>
            <w:r>
              <w:t>Relatively High</w:t>
            </w:r>
          </w:p>
        </w:tc>
        <w:tc>
          <w:tcPr>
            <w:tcW w:type="dxa" w:w="2340"/>
            <w:shd w:fill="F2F2F2" w:val="clear"/>
          </w:tcPr>
          <w:p>
            <w:r>
              <w:t>$1,421,552</w:t>
            </w:r>
          </w:p>
        </w:tc>
      </w:tr>
      <w:tr>
        <w:tc>
          <w:tcPr>
            <w:tcW w:type="dxa" w:w="2340"/>
            <w:shd w:fill="FFFFFF" w:val="clear"/>
          </w:tcPr>
          <w:p>
            <w:r>
              <w:t>Drought</w:t>
            </w:r>
          </w:p>
        </w:tc>
        <w:tc>
          <w:tcPr>
            <w:tcW w:type="dxa" w:w="2340"/>
            <w:shd w:fill="FFFFFF" w:val="clear"/>
          </w:tcPr>
          <w:p>
            <w:r>
              <w:t>66.1</w:t>
            </w:r>
          </w:p>
        </w:tc>
        <w:tc>
          <w:tcPr>
            <w:tcW w:type="dxa" w:w="2340"/>
            <w:shd w:fill="FFFFFF" w:val="clear"/>
          </w:tcPr>
          <w:p>
            <w:r>
              <w:t>Relatively High</w:t>
            </w:r>
          </w:p>
        </w:tc>
        <w:tc>
          <w:tcPr>
            <w:tcW w:type="dxa" w:w="2340"/>
            <w:shd w:fill="FFFFFF" w:val="clear"/>
          </w:tcPr>
          <w:p>
            <w:r>
              <w:t>$966,243</w:t>
            </w:r>
          </w:p>
        </w:tc>
      </w:tr>
      <w:tr>
        <w:tc>
          <w:tcPr>
            <w:tcW w:type="dxa" w:w="2340"/>
            <w:shd w:fill="F2F2F2" w:val="clear"/>
          </w:tcPr>
          <w:p>
            <w:r>
              <w:t>Ice Storm</w:t>
            </w:r>
          </w:p>
        </w:tc>
        <w:tc>
          <w:tcPr>
            <w:tcW w:type="dxa" w:w="2340"/>
            <w:shd w:fill="F2F2F2" w:val="clear"/>
          </w:tcPr>
          <w:p>
            <w:r>
              <w:t>60.5</w:t>
            </w:r>
          </w:p>
        </w:tc>
        <w:tc>
          <w:tcPr>
            <w:tcW w:type="dxa" w:w="2340"/>
            <w:shd w:fill="F2F2F2" w:val="clear"/>
          </w:tcPr>
          <w:p>
            <w:r>
              <w:t>Relatively High</w:t>
            </w:r>
          </w:p>
        </w:tc>
        <w:tc>
          <w:tcPr>
            <w:tcW w:type="dxa" w:w="2340"/>
            <w:shd w:fill="F2F2F2" w:val="clear"/>
          </w:tcPr>
          <w:p>
            <w:r>
              <w:t>$522,881</w:t>
            </w:r>
          </w:p>
        </w:tc>
      </w:tr>
      <w:tr>
        <w:tc>
          <w:tcPr>
            <w:tcW w:type="dxa" w:w="2340"/>
            <w:shd w:fill="FFFFFF" w:val="clear"/>
          </w:tcPr>
          <w:p>
            <w:r>
              <w:t>Wildfire</w:t>
            </w:r>
          </w:p>
        </w:tc>
        <w:tc>
          <w:tcPr>
            <w:tcW w:type="dxa" w:w="2340"/>
            <w:shd w:fill="FFFFFF" w:val="clear"/>
          </w:tcPr>
          <w:p>
            <w:r>
              <w:t>60.0</w:t>
            </w:r>
          </w:p>
        </w:tc>
        <w:tc>
          <w:tcPr>
            <w:tcW w:type="dxa" w:w="2340"/>
            <w:shd w:fill="FFFFFF" w:val="clear"/>
          </w:tcPr>
          <w:p>
            <w:r>
              <w:t>Relatively High</w:t>
            </w:r>
          </w:p>
        </w:tc>
        <w:tc>
          <w:tcPr>
            <w:tcW w:type="dxa" w:w="2340"/>
            <w:shd w:fill="FFFFFF" w:val="clear"/>
          </w:tcPr>
          <w:p>
            <w:r>
              <w:t>$472,838</w:t>
            </w:r>
          </w:p>
        </w:tc>
      </w:tr>
      <w:tr>
        <w:tc>
          <w:tcPr>
            <w:tcW w:type="dxa" w:w="2340"/>
            <w:shd w:fill="F2F2F2" w:val="clear"/>
          </w:tcPr>
          <w:p>
            <w:r>
              <w:t>Winter Weather</w:t>
            </w:r>
          </w:p>
        </w:tc>
        <w:tc>
          <w:tcPr>
            <w:tcW w:type="dxa" w:w="2340"/>
            <w:shd w:fill="F2F2F2" w:val="clear"/>
          </w:tcPr>
          <w:p>
            <w:r>
              <w:t>55.4</w:t>
            </w:r>
          </w:p>
        </w:tc>
        <w:tc>
          <w:tcPr>
            <w:tcW w:type="dxa" w:w="2340"/>
            <w:shd w:fill="F2F2F2" w:val="clear"/>
          </w:tcPr>
          <w:p>
            <w:r>
              <w:t>Relatively Moderate</w:t>
            </w:r>
          </w:p>
        </w:tc>
        <w:tc>
          <w:tcPr>
            <w:tcW w:type="dxa" w:w="2340"/>
            <w:shd w:fill="F2F2F2" w:val="clear"/>
          </w:tcPr>
          <w:p>
            <w:r>
              <w:t>$233,699</w:t>
            </w:r>
          </w:p>
        </w:tc>
      </w:tr>
    </w:tbl>
    <w:p>
      <w:pPr>
        <w:pStyle w:val="HSSection"/>
      </w:pPr>
      <w:r>
        <w:t>Hazard-to-Program Alignment</w:t>
      </w:r>
    </w:p>
    <w:p>
      <w:pPr>
        <w:pStyle w:val="HSBody"/>
      </w:pPr>
      <w:r>
        <w:t>Kickapoo Tribe of Indians of the Kickapoo Reservation in Kansas's top hazard exposures (Hail, Drought,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Kickapoo Tribe of Indians of the Kickapoo Reservation in Kansas.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Messaging Framework</w:t>
      </w:r>
    </w:p>
    <w:p>
      <w:pPr>
        <w:pStyle w:val="HSBody"/>
      </w:pPr>
      <w:r>
        <w:t>Audience-calibrated talking points for Kickapoo Tribe of Indians of the Kickapoo Reservation in Kansas's advocacy engagements during the current congressional session.</w:t>
      </w:r>
    </w:p>
    <w:p>
      <w:pPr>
        <w:pStyle w:val="HSSection"/>
      </w:pPr>
      <w:r>
        <w:t>Core Message</w:t>
      </w:r>
    </w:p>
    <w:p>
      <w:pPr>
        <w:pStyle w:val="HSBody"/>
      </w:pPr>
      <w:r>
        <w:t>Kickapoo Tribe of Indians of the Kickapoo Reservation in Kansas faces significant hail risk. Congress has funded programs that address this risk, but administrative delivery gaps and structural barriers prevent these resources from reaching Tribal communities in KS.</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Kickapoo Tribe of Indians of the Kickapoo Reservation in Kansas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Kickapoo Tribe of Indians of the Kickapoo Reservation in Kansas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