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Nisqually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Nisqually Indian Tribe's climate risk profile and geographic context.</w:t>
      </w:r>
    </w:p>
    <w:p>
      <w:r>
        <w:br w:type="page"/>
      </w:r>
    </w:p>
    <w:p>
      <w:pPr>
        <w:pStyle w:val="Heading2"/>
      </w:pPr>
      <w:r>
        <w:t>Executive Summary</w:t>
      </w:r>
    </w:p>
    <w:p>
      <w:pPr>
        <w:pStyle w:val="HSTitle"/>
      </w:pPr>
      <w:r>
        <w:t>Nisqually Indian Tribe -- WA</w:t>
      </w:r>
    </w:p>
    <w:p>
      <w:pPr>
        <w:pStyle w:val="HSBody"/>
      </w:pPr>
      <w:r>
        <w:t>This strategy document outlines Nisqually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$13,765,448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Marilyn Strickland (D-WA-10)</w:t>
            </w:r>
          </w:p>
        </w:tc>
        <w:tc>
          <w:tcPr>
            <w:tcW w:type="dxa" w:w="1872"/>
            <w:shd w:fill="F2F2F2" w:val="clear"/>
          </w:tcPr>
          <w:p>
            <w:r>
              <w:t>Representative</w:t>
            </w:r>
          </w:p>
        </w:tc>
        <w:tc>
          <w:tcPr>
            <w:tcW w:type="dxa" w:w="1872"/>
            <w:shd w:fill="F2F2F2" w:val="clear"/>
          </w:tcPr>
          <w:p>
            <w:r>
              <w:t>WA</w:t>
            </w:r>
          </w:p>
        </w:tc>
        <w:tc>
          <w:tcPr>
            <w:tcW w:type="dxa" w:w="1872"/>
            <w:shd w:fill="F2F2F2" w:val="clear"/>
          </w:tcPr>
          <w:p>
            <w:r>
              <w:t>10</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Nisqually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Nisqually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Nisqually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Nisqually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Nisqually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Nisqually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Nisqually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Nisqually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Nisqually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Nisqually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Nisqually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Nisqually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$491,545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$518,000</w:t>
            </w:r>
          </w:p>
        </w:tc>
        <w:tc>
          <w:tcPr>
            <w:tcW w:type="dxa" w:w="2340"/>
            <w:shd w:fill="FFFFFF" w:val="clear"/>
          </w:tcPr>
          <w:p>
            <w:r>
              <w:t>2023-10-01 - 2027-09-30</w:t>
            </w:r>
          </w:p>
        </w:tc>
      </w:tr>
    </w:tbl>
    <w:p>
      <w:pPr>
        <w:pStyle w:val="HSBody"/>
      </w:pPr>
      <w:r>
        <w:rPr>
          <w:b/>
        </w:rPr>
        <w:t>Total: $1,009,545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EPA GAP funding to Nisqually Indian Tribe generated an estimated $1,817,181-$2,422,908 in regional economic activity (BEA RIMS II methodology, output multiplier range 1.8-2.4x), supporting approximately 8-15 jobs (BLS employment requirements methodology).</w:t>
      </w:r>
    </w:p>
    <w:p>
      <w:pPr>
        <w:pStyle w:val="HSBody"/>
      </w:pPr>
      <w:r>
        <w:t>Hazard Alignment: Nisqually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EPA GAP funding to Nisqually Indian Tribe generated an estimated $1,817,181-$2,422,908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Nisqually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Nisqually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Nisqually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Nisqually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$11,353,360</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$370,551</w:t>
            </w:r>
          </w:p>
        </w:tc>
        <w:tc>
          <w:tcPr>
            <w:tcW w:type="dxa" w:w="2340"/>
            <w:shd w:fill="FFFFFF" w:val="clear"/>
          </w:tcPr>
          <w:p>
            <w:r>
              <w:t>2021-04-22 - 2026-09-30</w:t>
            </w:r>
          </w:p>
        </w:tc>
      </w:tr>
    </w:tbl>
    <w:p>
      <w:pPr>
        <w:pStyle w:val="HSBody"/>
      </w:pPr>
      <w:r>
        <w:rPr>
          <w:b/>
        </w:rPr>
        <w:t>Total: $11,723,911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Nisqually Indian Tribe generated an estimated $21,103,040-$28,137,386 in regional economic activity (BEA RIMS II methodology, output multiplier range 1.8-2.4x), supporting approximately 94-176 jobs (BLS employment requirements methodology).</w:t>
      </w:r>
    </w:p>
    <w:p>
      <w:pPr>
        <w:pStyle w:val="HSBody"/>
      </w:pPr>
      <w:r>
        <w:t>Hazard Alignment: Nisqually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HUD IHBG funding to Nisqually Indian Tribe generated an estimated $21,103,040-$28,137,386 in regional economic activity (BEA RIMS II methodology, output multiplier range 1.8-2.4x), supporting approximately 94-176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Nisqually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Nisqually Indian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Nisqually Indian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Nisqually Indian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Nisqually Indian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Nisqually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Nisqually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Nisqually Indian Tribe's advocacy engagements during the current congressional session.</w:t>
      </w:r>
    </w:p>
    <w:p>
      <w:pPr>
        <w:pStyle w:val="HSSection"/>
      </w:pPr>
      <w:r>
        <w:t>Core Message</w:t>
      </w:r>
    </w:p>
    <w:p>
      <w:pPr>
        <w:pStyle w:val="HSBody"/>
      </w:pPr>
      <w:r>
        <w:t>Nisqually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Nisqually Indian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Nisqually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