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The Osage Nation</w:t>
      </w:r>
    </w:p>
    <w:p>
      <w:pPr>
        <w:pStyle w:val="HSBody"/>
      </w:pPr>
      <w:r>
        <w:t>Prepared for the offices of: 2 Senators, 1 Representative</w:t>
      </w:r>
    </w:p>
    <w:p>
      <w:pPr>
        <w:pStyle w:val="HSBody"/>
      </w:pPr>
      <w:r>
        <w:t>State(s): OK</w:t>
      </w:r>
    </w:p>
    <w:p>
      <w:pPr>
        <w:pStyle w:val="HSBody"/>
      </w:pPr>
      <w:r>
        <w:t>Ecoregion(s): great_plains_south</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The Osage Nation's climate risk profile and geographic context.</w:t>
      </w:r>
    </w:p>
    <w:p>
      <w:r>
        <w:br w:type="page"/>
      </w:r>
    </w:p>
    <w:p>
      <w:pPr>
        <w:pStyle w:val="Heading2"/>
      </w:pPr>
      <w:r>
        <w:t>Executive Summary</w:t>
      </w:r>
    </w:p>
    <w:p>
      <w:pPr>
        <w:pStyle w:val="HSTitle"/>
      </w:pPr>
      <w:r>
        <w:t>The Osage Nation -- OK</w:t>
      </w:r>
    </w:p>
    <w:p>
      <w:pPr>
        <w:pStyle w:val="HSBody"/>
      </w:pPr>
      <w:r>
        <w:t>This strategy document outlines The Osage Nation's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$59,032,722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Frank D. Lucas (R-OK-03)</w:t>
            </w:r>
          </w:p>
        </w:tc>
        <w:tc>
          <w:tcPr>
            <w:tcW w:type="dxa" w:w="1872"/>
            <w:shd w:fill="F2F2F2" w:val="clear"/>
          </w:tcPr>
          <w:p>
            <w:r>
              <w:t>Representative</w:t>
            </w:r>
          </w:p>
        </w:tc>
        <w:tc>
          <w:tcPr>
            <w:tcW w:type="dxa" w:w="1872"/>
            <w:shd w:fill="F2F2F2" w:val="clear"/>
          </w:tcPr>
          <w:p>
            <w:r>
              <w:t>OK</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$25,875</w:t>
            </w:r>
          </w:p>
        </w:tc>
        <w:tc>
          <w:tcPr>
            <w:tcW w:type="dxa" w:w="2340"/>
            <w:shd w:fill="F2F2F2" w:val="clear"/>
          </w:tcPr>
          <w:p>
            <w:r>
              <w:t>2022-02-03 - 2025-02-02</w:t>
            </w:r>
          </w:p>
        </w:tc>
      </w:tr>
    </w:tbl>
    <w:p>
      <w:pPr>
        <w:pStyle w:val="HSBody"/>
      </w:pPr>
      <w:r>
        <w:rPr>
          <w:b/>
        </w:rPr>
        <w:t>Total: $25,875</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FEMA BRIC funding to The Osage Nation generated an estimated $46,575-$62,100 in regional economic activity (BEA RIMS II methodology, output multiplier range 1.8-2.4x), supporting approximately 0-0 jobs (BLS employment requirements methodology).</w:t>
      </w:r>
    </w:p>
    <w:p>
      <w:pPr>
        <w:pStyle w:val="HSBody"/>
      </w:pPr>
      <w:r>
        <w:t>Hazard Alignment: The Osage Nation's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FEMA BRIC funding to The Osage Nation generated an estimated $46,575-$62,100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The Osage Nation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The Osage Nation's ice storm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The Osage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The Osage Nation's ice storm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$25,875</w:t>
            </w:r>
          </w:p>
        </w:tc>
        <w:tc>
          <w:tcPr>
            <w:tcW w:type="dxa" w:w="2340"/>
            <w:shd w:fill="F2F2F2" w:val="clear"/>
          </w:tcPr>
          <w:p>
            <w:r>
              <w:t>2022-02-03 - 2025-02-02</w:t>
            </w:r>
          </w:p>
        </w:tc>
      </w:tr>
    </w:tbl>
    <w:p>
      <w:pPr>
        <w:pStyle w:val="HSBody"/>
      </w:pPr>
      <w:r>
        <w:rPr>
          <w:b/>
        </w:rPr>
        <w:t>Total: $25,875</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The Osage Nation's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$34,381,032</w:t>
            </w:r>
          </w:p>
        </w:tc>
        <w:tc>
          <w:tcPr>
            <w:tcW w:type="dxa" w:w="2340"/>
            <w:shd w:fill="F2F2F2" w:val="clear"/>
          </w:tcPr>
          <w:p>
            <w:r>
              <w:t>2011-10-18 - 2033-09-30</w:t>
            </w:r>
          </w:p>
        </w:tc>
      </w:tr>
    </w:tbl>
    <w:p>
      <w:pPr>
        <w:pStyle w:val="HSBody"/>
      </w:pPr>
      <w:r>
        <w:rPr>
          <w:b/>
        </w:rPr>
        <w:t>Total: $34,381,032</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The Osage Nation generated an estimated $61,885,858-$82,514,477 in regional economic activity (BEA RIMS II methodology, output multiplier range 1.8-2.4x), supporting approximately 275-516 jobs (BLS employment requirements methodology).</w:t>
      </w:r>
    </w:p>
    <w:p>
      <w:pPr>
        <w:pStyle w:val="HSBody"/>
      </w:pPr>
      <w:r>
        <w:t>Hazard Alignment: The Osage Nation's ice storm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HUD IHBG funding to The Osage Nation generated an estimated $61,885,858-$82,514,477 in regional economic activity (BEA RIMS II methodology, output multiplier range 1.8-2.4x), supporting approximately 275-516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The Osage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The Osage Nation's ice storm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$540,000</w:t>
            </w:r>
          </w:p>
        </w:tc>
        <w:tc>
          <w:tcPr>
            <w:tcW w:type="dxa" w:w="2340"/>
            <w:shd w:fill="F2F2F2" w:val="clear"/>
          </w:tcPr>
          <w:p>
            <w:r>
              <w:t>2023-10-01 - 2027-09-30</w:t>
            </w:r>
          </w:p>
        </w:tc>
      </w:tr>
    </w:tbl>
    <w:p>
      <w:pPr>
        <w:pStyle w:val="HSBody"/>
      </w:pPr>
      <w:r>
        <w:rPr>
          <w:b/>
        </w:rPr>
        <w:t>Total: $540,000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The Osage Nation generated an estimated $972,000-$1,296,000 in regional economic activity (BEA RIMS II methodology, output multiplier range 1.8-2.4x), supporting approximately 4-8 jobs (BLS employment requirements methodology).</w:t>
      </w:r>
    </w:p>
    <w:p>
      <w:pPr>
        <w:pStyle w:val="HSBody"/>
      </w:pPr>
      <w:r>
        <w:t>Hazard Alignment: The Osage Nation's ice storm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EPA GAP funding to The Osage Nation generated an estimated $972,000-$1,296,000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The Osage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The Osage Nation's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The Osage Nation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The Osage Nation's ice storm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The Osage Nation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The Osage Nation's ice storm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The Osage Nation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The Osage Nation's ice storm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The Osage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The Osage Nation's ice storm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The Osage Nation's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The Osage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Messaging Framework</w:t>
      </w:r>
    </w:p>
    <w:p>
      <w:pPr>
        <w:pStyle w:val="HSBody"/>
      </w:pPr>
      <w:r>
        <w:t>Audience-calibrated talking points for The Osage Nation's advocacy engagements during the current congressional session.</w:t>
      </w:r>
    </w:p>
    <w:p>
      <w:pPr>
        <w:pStyle w:val="HSSection"/>
      </w:pPr>
      <w:r>
        <w:t>Core Message</w:t>
      </w:r>
    </w:p>
    <w:p>
      <w:pPr>
        <w:pStyle w:val="HSBody"/>
      </w:pPr>
      <w:r>
        <w:t>The Osage Nation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The Osage Nation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The Osage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