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Quinault Indian Nation</w:t>
      </w:r>
    </w:p>
    <w:p>
      <w:pPr>
        <w:pStyle w:val="HSBody"/>
      </w:pPr>
      <w:r>
        <w:t>Prepared for the offices of: 2 Senators, 1 Representative</w:t>
      </w:r>
    </w:p>
    <w:p>
      <w:pPr>
        <w:pStyle w:val="HSBody"/>
      </w:pPr>
      <w:r>
        <w:t>State(s): WA</w:t>
      </w:r>
    </w:p>
    <w:p>
      <w:pPr>
        <w:pStyle w:val="HSBody"/>
      </w:pPr>
      <w:r>
        <w:t>Ecoregion(s): pacific_northwest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DOT PROTECT</w:t>
      </w:r>
      <w:r>
        <w:t xml:space="preserve">  </w:t>
      </w:r>
      <w:r>
        <w:rPr>
          <w:color w:val="4B5563"/>
          <w:sz w:val="16"/>
        </w:rPr>
        <w:t>[Secure]</w:t>
      </w:r>
    </w:p>
    <w:p>
      <w:pPr>
        <w:pStyle w:val="HSBody"/>
      </w:pPr>
      <w:r>
        <w:t>6. USDA Wildfire Defense Grants</w:t>
      </w:r>
      <w:r>
        <w:t xml:space="preserve">  </w:t>
      </w:r>
      <w:r>
        <w:rPr>
          <w:color w:val="4B5563"/>
          <w:sz w:val="16"/>
        </w:rPr>
        <w:t>[Stable but Vulnerable]</w:t>
      </w:r>
    </w:p>
    <w:p>
      <w:pPr>
        <w:pStyle w:val="HSBody"/>
      </w:pPr>
      <w:r>
        <w:t>7. EPA GAP</w:t>
      </w:r>
      <w:r>
        <w:t xml:space="preserve">  </w:t>
      </w:r>
      <w:r>
        <w:rPr>
          <w:color w:val="4B5563"/>
          <w:sz w:val="16"/>
        </w:rPr>
        <w:t>[Stable]</w:t>
      </w:r>
    </w:p>
    <w:p>
      <w:pPr>
        <w:pStyle w:val="HSBody"/>
      </w:pPr>
      <w:r>
        <w:t>8. NOAA Tribal Grants</w:t>
      </w:r>
      <w:r>
        <w:t xml:space="preserve">  </w:t>
      </w:r>
      <w:r>
        <w:rPr>
          <w:color w:val="4B5563"/>
          <w:sz w:val="16"/>
        </w:rPr>
        <w:t>[Uncertain]</w:t>
      </w:r>
    </w:p>
    <w:p>
      <w:pPr>
        <w:pStyle w:val="HSBody"/>
      </w:pPr>
      <w:r>
        <w:t>9. DOE Indian Energy</w:t>
      </w:r>
      <w:r>
        <w:t xml:space="preserve">  </w:t>
      </w:r>
      <w:r>
        <w:rPr>
          <w:color w:val="4B5563"/>
          <w:sz w:val="16"/>
        </w:rPr>
        <w:t>[Uncertain]</w:t>
      </w:r>
    </w:p>
    <w:p>
      <w:pPr>
        <w:pStyle w:val="HSBody"/>
      </w:pPr>
      <w:r>
        <w:t>10. HUD IHBG</w:t>
      </w:r>
      <w:r>
        <w:t xml:space="preserve">  </w:t>
      </w:r>
      <w:r>
        <w:rPr>
          <w:color w:val="4B5563"/>
          <w:sz w:val="16"/>
        </w:rPr>
        <w:t>[Stable]</w:t>
      </w:r>
    </w:p>
    <w:p>
      <w:pPr>
        <w:pStyle w:val="HSBody"/>
      </w:pPr>
      <w:r>
        <w:t>11. EPA STAG</w:t>
      </w:r>
      <w:r>
        <w:t xml:space="preserve">  </w:t>
      </w:r>
      <w:r>
        <w:rPr>
          <w:color w:val="4B5563"/>
          <w:sz w:val="16"/>
        </w:rPr>
        <w:t>[Stable]</w:t>
      </w:r>
    </w:p>
    <w:p>
      <w:pPr>
        <w:pStyle w:val="HSBody"/>
      </w:pPr>
      <w:r>
        <w:t>12. Tribal Community Resilience Annual Awards</w:t>
      </w:r>
      <w:r>
        <w:t xml:space="preserve">  </w:t>
      </w:r>
      <w:r>
        <w:rPr>
          <w:color w:val="4B5563"/>
          <w:sz w:val="16"/>
        </w:rPr>
        <w:t>[Stable]</w:t>
      </w:r>
    </w:p>
    <w:p>
      <w:pPr>
        <w:pStyle w:val="HSBody"/>
      </w:pPr>
      <w:r>
        <w:t>This packet contains 12 program analyses tailored to Quinault Indian Nation's climate risk profile and geographic context.</w:t>
      </w:r>
    </w:p>
    <w:p>
      <w:r>
        <w:br w:type="page"/>
      </w:r>
    </w:p>
    <w:p>
      <w:pPr>
        <w:pStyle w:val="Heading2"/>
      </w:pPr>
      <w:r>
        <w:t>Executive Summary</w:t>
      </w:r>
    </w:p>
    <w:p>
      <w:pPr>
        <w:pStyle w:val="HSTitle"/>
      </w:pPr>
      <w:r>
        <w:t>Quinault Indian Nation -- WA</w:t>
      </w:r>
    </w:p>
    <w:p>
      <w:pPr>
        <w:pStyle w:val="HSBody"/>
      </w:pPr>
      <w:r>
        <w:t>This strategy document outlines Quinault Indian Nation's federal climate resilience funding landscape, identifies strategic leverage points across key programs, and recommends sequenced advocacy actions for the current congressional session.</w:t>
      </w:r>
    </w:p>
    <w:p>
      <w:pPr>
        <w:pStyle w:val="HSBody"/>
      </w:pPr>
      <w:r>
        <w:t>Top Climate Hazards: Landslide, Earthquake, Wildfire</w:t>
      </w:r>
    </w:p>
    <w:p>
      <w:pPr>
        <w:pStyle w:val="HSBody"/>
      </w:pPr>
      <w:r>
        <w:t>Total Federal Climate Resilience Funding: $1,956,604</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2 Senator(s) and 1 Representative(s) across 1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Patty Murray (D-WA)</w:t>
            </w:r>
          </w:p>
        </w:tc>
        <w:tc>
          <w:tcPr>
            <w:tcW w:type="dxa" w:w="1872"/>
            <w:shd w:fill="F2F2F2" w:val="clear"/>
          </w:tcPr>
          <w:p>
            <w:r>
              <w:t>Senator</w:t>
            </w:r>
          </w:p>
        </w:tc>
        <w:tc>
          <w:tcPr>
            <w:tcW w:type="dxa" w:w="1872"/>
            <w:shd w:fill="F2F2F2" w:val="clear"/>
          </w:tcPr>
          <w:p>
            <w:r>
              <w:t>WA</w:t>
            </w:r>
          </w:p>
        </w:tc>
        <w:tc>
          <w:tcPr>
            <w:tcW w:type="dxa" w:w="1872"/>
            <w:shd w:fill="F2F2F2" w:val="clear"/>
          </w:tcPr>
          <w:p>
            <w:r>
              <w:t>At-Large</w:t>
            </w:r>
          </w:p>
        </w:tc>
        <w:tc>
          <w:tcPr>
            <w:tcW w:type="dxa" w:w="1872"/>
            <w:shd w:fill="F2F2F2" w:val="clear"/>
          </w:tcPr>
          <w:p>
            <w:r>
              <w:t>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w:t>
            </w:r>
          </w:p>
        </w:tc>
      </w:tr>
      <w:tr>
        <w:tc>
          <w:tcPr>
            <w:tcW w:type="dxa" w:w="1872"/>
            <w:shd w:fill="FFFFFF" w:val="clear"/>
          </w:tcPr>
          <w:p>
            <w:r>
              <w:t>Sen. Maria Cantwell (D-WA)</w:t>
            </w:r>
          </w:p>
        </w:tc>
        <w:tc>
          <w:tcPr>
            <w:tcW w:type="dxa" w:w="1872"/>
            <w:shd w:fill="FFFFFF" w:val="clear"/>
          </w:tcPr>
          <w:p>
            <w:r>
              <w:t>Senator</w:t>
            </w:r>
          </w:p>
        </w:tc>
        <w:tc>
          <w:tcPr>
            <w:tcW w:type="dxa" w:w="1872"/>
            <w:shd w:fill="FFFFFF" w:val="clear"/>
          </w:tcPr>
          <w:p>
            <w:r>
              <w:t>WA</w:t>
            </w:r>
          </w:p>
        </w:tc>
        <w:tc>
          <w:tcPr>
            <w:tcW w:type="dxa" w:w="1872"/>
            <w:shd w:fill="FFFFFF" w:val="clear"/>
          </w:tcPr>
          <w:p>
            <w:r>
              <w:t>At-Large</w:t>
            </w:r>
          </w:p>
        </w:tc>
        <w:tc>
          <w:tcPr>
            <w:tcW w:type="dxa" w:w="1872"/>
            <w:shd w:fill="FFFFFF" w:val="clear"/>
          </w:tcPr>
          <w:p>
            <w:r>
              <w:t>Senate Committee on Commerce, Science, and Transportation; Surface Transportation, Freight, Pipelines, and Safety; Senate Committee on Energy and Natural Resources; Senate Committee on Indian Affairs</w:t>
            </w:r>
          </w:p>
        </w:tc>
      </w:tr>
      <w:tr>
        <w:tc>
          <w:tcPr>
            <w:tcW w:type="dxa" w:w="1872"/>
            <w:shd w:fill="F2F2F2" w:val="clear"/>
          </w:tcPr>
          <w:p>
            <w:r>
              <w:t>Rep. Emily Randall (D-WA-06)</w:t>
            </w:r>
          </w:p>
        </w:tc>
        <w:tc>
          <w:tcPr>
            <w:tcW w:type="dxa" w:w="1872"/>
            <w:shd w:fill="F2F2F2" w:val="clear"/>
          </w:tcPr>
          <w:p>
            <w:r>
              <w:t>Representative</w:t>
            </w:r>
          </w:p>
        </w:tc>
        <w:tc>
          <w:tcPr>
            <w:tcW w:type="dxa" w:w="1872"/>
            <w:shd w:fill="F2F2F2" w:val="clear"/>
          </w:tcPr>
          <w:p>
            <w:r>
              <w:t>WA</w:t>
            </w:r>
          </w:p>
        </w:tc>
        <w:tc>
          <w:tcPr>
            <w:tcW w:type="dxa" w:w="1872"/>
            <w:shd w:fill="F2F2F2" w:val="clear"/>
          </w:tcPr>
          <w:p>
            <w:r>
              <w:t>6</w:t>
            </w:r>
          </w:p>
        </w:tc>
        <w:tc>
          <w:tcPr>
            <w:tcW w:type="dxa" w:w="1872"/>
            <w:shd w:fill="F2F2F2" w:val="clear"/>
          </w:tcPr>
          <w:p>
            <w:r>
              <w:t>House Committee on Natural Resources</w:t>
            </w:r>
          </w:p>
        </w:tc>
      </w:tr>
    </w:tbl>
    <w:p>
      <w:pPr>
        <w:pStyle w:val="HSBody"/>
      </w:pPr>
      <w:r>
        <w:t>3 members with relevant committee assignments</w:t>
      </w:r>
    </w:p>
    <w:p>
      <w:pPr>
        <w:pStyle w:val="HSSection"/>
      </w:pPr>
      <w:r>
        <w:t>Strategic Notes</w:t>
      </w:r>
    </w:p>
    <w:p>
      <w:pPr>
        <w:pStyle w:val="HSBody"/>
      </w:pPr>
      <w:r>
        <w:t>Sen. Patty Murray (D-WA): Sits on Senate Committee on Appropriations; Agriculture, Rural Development, Food and Drug Administration, and Related Agencies; Commerce, Justice, Science, and Related Agencies; Energy and Water Development; Department of Interior, Environment, and Related Agencies; Transportation, Housing and Urban Development, and Related Agencies. Direct influence on relevant programs.</w:t>
      </w:r>
    </w:p>
    <w:p>
      <w:pPr>
        <w:pStyle w:val="HSBody"/>
      </w:pPr>
      <w:r>
        <w:t>Sen. Maria Cantwell (D-WA): Sits on Senate Committee on Commerce, Science, and Transportation; Surface Transportation, Freight, Pipelines, and Safety; Senate Committee on Energy and Natural Resources; Senate Committee on Indian Affairs. Direct influence on relevant programs.</w:t>
      </w:r>
    </w:p>
    <w:p>
      <w:pPr>
        <w:pStyle w:val="HSBody"/>
      </w:pPr>
      <w:r>
        <w:t>Rep. Emily Randall (D-WA-06): Sits on House Committee on Natural Resources.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$1,400,000</w:t>
            </w:r>
          </w:p>
        </w:tc>
        <w:tc>
          <w:tcPr>
            <w:tcW w:type="dxa" w:w="2340"/>
            <w:shd w:fill="F2F2F2" w:val="clear"/>
          </w:tcPr>
          <w:p/>
        </w:tc>
      </w:tr>
      <w:tr>
        <w:tc>
          <w:tcPr>
            <w:tcW w:type="dxa" w:w="2340"/>
            <w:shd w:fill="FFFFFF" w:val="clear"/>
          </w:tcPr>
          <w:p>
            <w:r>
              <w:t>fema_bric</w:t>
            </w:r>
          </w:p>
        </w:tc>
        <w:tc>
          <w:tcPr>
            <w:tcW w:type="dxa" w:w="2340"/>
            <w:shd w:fill="FFFFFF" w:val="clear"/>
          </w:tcPr>
          <w:p>
            <w:r>
              <w:t>97.047</w:t>
            </w:r>
          </w:p>
        </w:tc>
        <w:tc>
          <w:tcPr>
            <w:tcW w:type="dxa" w:w="2340"/>
            <w:shd w:fill="FFFFFF" w:val="clear"/>
          </w:tcPr>
          <w:p>
            <w:r>
              <w:t>$95,738</w:t>
            </w:r>
          </w:p>
        </w:tc>
        <w:tc>
          <w:tcPr>
            <w:tcW w:type="dxa" w:w="2340"/>
            <w:shd w:fill="FFFFFF" w:val="clear"/>
          </w:tcPr>
          <w:p>
            <w:r>
              <w:t>2022-03-08 - 2025-03-07</w:t>
            </w:r>
          </w:p>
        </w:tc>
      </w:tr>
      <w:tr>
        <w:tc>
          <w:tcPr>
            <w:tcW w:type="dxa" w:w="2340"/>
            <w:shd w:fill="F2F2F2" w:val="clear"/>
          </w:tcPr>
          <w:p>
            <w:r>
              <w:t>fema_bric</w:t>
            </w:r>
          </w:p>
        </w:tc>
        <w:tc>
          <w:tcPr>
            <w:tcW w:type="dxa" w:w="2340"/>
            <w:shd w:fill="F2F2F2" w:val="clear"/>
          </w:tcPr>
          <w:p>
            <w:r>
              <w:t>97.047</w:t>
            </w:r>
          </w:p>
        </w:tc>
        <w:tc>
          <w:tcPr>
            <w:tcW w:type="dxa" w:w="2340"/>
            <w:shd w:fill="F2F2F2" w:val="clear"/>
          </w:tcPr>
          <w:p>
            <w:r>
              <w:t>$19,656</w:t>
            </w:r>
          </w:p>
        </w:tc>
        <w:tc>
          <w:tcPr>
            <w:tcW w:type="dxa" w:w="2340"/>
            <w:shd w:fill="F2F2F2" w:val="clear"/>
          </w:tcPr>
          <w:p>
            <w:r>
              <w:t>2021-05-01 - None</w:t>
            </w:r>
          </w:p>
        </w:tc>
      </w:tr>
    </w:tbl>
    <w:p>
      <w:pPr>
        <w:pStyle w:val="HSBody"/>
      </w:pPr>
      <w:r>
        <w:rPr>
          <w:b/>
        </w:rPr>
        <w:t>Total: $1,515,394</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FEMA BRIC funding to Quinault Indian Nation generated an estimated $2,727,708-$3,636,945 in regional economic activity (BEA RIMS II methodology, output multiplier range 1.8-2.4x), supporting approximately 12-23 jobs (BLS employment requirements methodology).</w:t>
      </w:r>
    </w:p>
    <w:p>
      <w:pPr>
        <w:pStyle w:val="HSBody"/>
      </w:pPr>
      <w:r>
        <w:t>Hazard Alignment: Quinault Indian Nation's landslide risk profile reinforces the economic case for continued federal investment in FEMA BRIC.</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Quinault Indian Nation's Landslide, Earthquake and Wildfire risk makes this program critical for community resilience</w:t>
      </w:r>
    </w:p>
    <w:p>
      <w:pPr>
        <w:pStyle w:val="HSCalloutDetail"/>
        <w:shd w:fill="EEF2FF" w:val="clear"/>
      </w:pPr>
      <w:r>
        <w:t>IMPACT: FEMA BRIC funding to Quinault Indian Nation generated an estimated $2,727,708-$3,636,945 in regional economic activity (BEA RIMS II methodology, output multiplier range 1.8-2.4x), supporting approximately 12-23 jobs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BRIC;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$110,833</w:t>
            </w:r>
          </w:p>
        </w:tc>
        <w:tc>
          <w:tcPr>
            <w:tcW w:type="dxa" w:w="2340"/>
            <w:shd w:fill="F2F2F2" w:val="clear"/>
          </w:tcPr>
          <w:p>
            <w:r>
              <w:t>2018-09-01 - 2020-09-30</w:t>
            </w:r>
          </w:p>
        </w:tc>
      </w:tr>
      <w:tr>
        <w:tc>
          <w:tcPr>
            <w:tcW w:type="dxa" w:w="2340"/>
            <w:shd w:fill="FFFFFF" w:val="clear"/>
          </w:tcPr>
          <w:p>
            <w:r>
              <w:t>bia_tcr</w:t>
            </w:r>
          </w:p>
        </w:tc>
        <w:tc>
          <w:tcPr>
            <w:tcW w:type="dxa" w:w="2340"/>
            <w:shd w:fill="FFFFFF" w:val="clear"/>
          </w:tcPr>
          <w:p>
            <w:r>
              <w:t>15.156</w:t>
            </w:r>
          </w:p>
        </w:tc>
        <w:tc>
          <w:tcPr>
            <w:tcW w:type="dxa" w:w="2340"/>
            <w:shd w:fill="FFFFFF" w:val="clear"/>
          </w:tcPr>
          <w:p>
            <w:r>
              <w:t>$100,000</w:t>
            </w:r>
          </w:p>
        </w:tc>
        <w:tc>
          <w:tcPr>
            <w:tcW w:type="dxa" w:w="2340"/>
            <w:shd w:fill="FFFFFF" w:val="clear"/>
          </w:tcPr>
          <w:p>
            <w:r>
              <w:t>2018-10-01 - 2021-10-31</w:t>
            </w:r>
          </w:p>
        </w:tc>
      </w:tr>
      <w:tr>
        <w:tc>
          <w:tcPr>
            <w:tcW w:type="dxa" w:w="2340"/>
            <w:shd w:fill="F2F2F2" w:val="clear"/>
          </w:tcPr>
          <w:p>
            <w:r>
              <w:t>bia_tcr</w:t>
            </w:r>
          </w:p>
        </w:tc>
        <w:tc>
          <w:tcPr>
            <w:tcW w:type="dxa" w:w="2340"/>
            <w:shd w:fill="F2F2F2" w:val="clear"/>
          </w:tcPr>
          <w:p>
            <w:r>
              <w:t>15.156</w:t>
            </w:r>
          </w:p>
        </w:tc>
        <w:tc>
          <w:tcPr>
            <w:tcW w:type="dxa" w:w="2340"/>
            <w:shd w:fill="F2F2F2" w:val="clear"/>
          </w:tcPr>
          <w:p>
            <w:r>
              <w:t>$14,682</w:t>
            </w:r>
          </w:p>
        </w:tc>
        <w:tc>
          <w:tcPr>
            <w:tcW w:type="dxa" w:w="2340"/>
            <w:shd w:fill="F2F2F2" w:val="clear"/>
          </w:tcPr>
          <w:p>
            <w:r>
              <w:t>2018-08-28 - 2019-09-30</w:t>
            </w:r>
          </w:p>
        </w:tc>
      </w:tr>
      <w:tr>
        <w:tc>
          <w:tcPr>
            <w:tcW w:type="dxa" w:w="2340"/>
            <w:shd w:fill="FFFFFF" w:val="clear"/>
          </w:tcPr>
          <w:p>
            <w:r>
              <w:t>bia_tcr</w:t>
            </w:r>
          </w:p>
        </w:tc>
        <w:tc>
          <w:tcPr>
            <w:tcW w:type="dxa" w:w="2340"/>
            <w:shd w:fill="FFFFFF" w:val="clear"/>
          </w:tcPr>
          <w:p>
            <w:r>
              <w:t>15.156</w:t>
            </w:r>
          </w:p>
        </w:tc>
        <w:tc>
          <w:tcPr>
            <w:tcW w:type="dxa" w:w="2340"/>
            <w:shd w:fill="FFFFFF" w:val="clear"/>
          </w:tcPr>
          <w:p>
            <w:r>
              <w:t>$14,652</w:t>
            </w:r>
          </w:p>
        </w:tc>
        <w:tc>
          <w:tcPr>
            <w:tcW w:type="dxa" w:w="2340"/>
            <w:shd w:fill="FFFFFF" w:val="clear"/>
          </w:tcPr>
          <w:p>
            <w:r>
              <w:t>2018-10-01 - 2020-10-31</w:t>
            </w:r>
          </w:p>
        </w:tc>
      </w:tr>
    </w:tbl>
    <w:p>
      <w:pPr>
        <w:pStyle w:val="HSBody"/>
      </w:pPr>
      <w:r>
        <w:rPr>
          <w:b/>
        </w:rPr>
        <w:t>Total: $240,167</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BIA Tribal Climate Resilience funding to Quinault Indian Nation generated an estimated $432,301-$576,401 in regional economic activity (BEA RIMS II methodology, output multiplier range 1.8-2.4x), supporting approximately 2-4 jobs (BLS employment requirements methodology).</w:t>
      </w:r>
    </w:p>
    <w:p>
      <w:pPr>
        <w:pStyle w:val="HSBody"/>
      </w:pPr>
      <w:r>
        <w:t>Hazard Alignment: Quinault Indian Nation's landslide risk profile reinforces the economic case for continued federal investment in BIA Tribal Climate Resilience.</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Quinault Indian Nation's Landslide, Earthquake and Wildfire risk makes this program critical for community resilience</w:t>
      </w:r>
    </w:p>
    <w:p>
      <w:pPr>
        <w:pStyle w:val="HSCalloutDetail"/>
        <w:shd w:fill="EEF2FF" w:val="clear"/>
      </w:pPr>
      <w:r>
        <w:t>IMPACT: BIA Tribal Climate Resilience funding to Quinault Indian Nation generated an estimated $432,301-$576,401 in regional economic activity (BEA RIMS II methodology, output multiplier range 1.8-2.4x), supporting approximately 2-4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Quinault Indian Nation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Quinault Indian Nation's landslide risk profile reinforces the economic case for continued federal investment in IRS Elective Pay.</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Quinault Indian Nation's Landslide, Earthquake and Wildfire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fema_bric</w:t>
            </w:r>
          </w:p>
        </w:tc>
        <w:tc>
          <w:tcPr>
            <w:tcW w:type="dxa" w:w="2340"/>
            <w:shd w:fill="F2F2F2" w:val="clear"/>
          </w:tcPr>
          <w:p>
            <w:r>
              <w:t>97.047</w:t>
            </w:r>
          </w:p>
        </w:tc>
        <w:tc>
          <w:tcPr>
            <w:tcW w:type="dxa" w:w="2340"/>
            <w:shd w:fill="F2F2F2" w:val="clear"/>
          </w:tcPr>
          <w:p>
            <w:r>
              <w:t>$1,400,000</w:t>
            </w:r>
          </w:p>
        </w:tc>
        <w:tc>
          <w:tcPr>
            <w:tcW w:type="dxa" w:w="2340"/>
            <w:shd w:fill="F2F2F2" w:val="clear"/>
          </w:tcPr>
          <w:p/>
        </w:tc>
      </w:tr>
      <w:tr>
        <w:tc>
          <w:tcPr>
            <w:tcW w:type="dxa" w:w="2340"/>
            <w:shd w:fill="FFFFFF" w:val="clear"/>
          </w:tcPr>
          <w:p>
            <w:r>
              <w:t>fema_bric</w:t>
            </w:r>
          </w:p>
        </w:tc>
        <w:tc>
          <w:tcPr>
            <w:tcW w:type="dxa" w:w="2340"/>
            <w:shd w:fill="FFFFFF" w:val="clear"/>
          </w:tcPr>
          <w:p>
            <w:r>
              <w:t>97.047</w:t>
            </w:r>
          </w:p>
        </w:tc>
        <w:tc>
          <w:tcPr>
            <w:tcW w:type="dxa" w:w="2340"/>
            <w:shd w:fill="FFFFFF" w:val="clear"/>
          </w:tcPr>
          <w:p>
            <w:r>
              <w:t>$95,738</w:t>
            </w:r>
          </w:p>
        </w:tc>
        <w:tc>
          <w:tcPr>
            <w:tcW w:type="dxa" w:w="2340"/>
            <w:shd w:fill="FFFFFF" w:val="clear"/>
          </w:tcPr>
          <w:p>
            <w:r>
              <w:t>2022-03-08 - 2025-03-07</w:t>
            </w:r>
          </w:p>
        </w:tc>
      </w:tr>
      <w:tr>
        <w:tc>
          <w:tcPr>
            <w:tcW w:type="dxa" w:w="2340"/>
            <w:shd w:fill="F2F2F2" w:val="clear"/>
          </w:tcPr>
          <w:p>
            <w:r>
              <w:t>fema_bric</w:t>
            </w:r>
          </w:p>
        </w:tc>
        <w:tc>
          <w:tcPr>
            <w:tcW w:type="dxa" w:w="2340"/>
            <w:shd w:fill="F2F2F2" w:val="clear"/>
          </w:tcPr>
          <w:p>
            <w:r>
              <w:t>97.047</w:t>
            </w:r>
          </w:p>
        </w:tc>
        <w:tc>
          <w:tcPr>
            <w:tcW w:type="dxa" w:w="2340"/>
            <w:shd w:fill="F2F2F2" w:val="clear"/>
          </w:tcPr>
          <w:p>
            <w:r>
              <w:t>$19,656</w:t>
            </w:r>
          </w:p>
        </w:tc>
        <w:tc>
          <w:tcPr>
            <w:tcW w:type="dxa" w:w="2340"/>
            <w:shd w:fill="F2F2F2" w:val="clear"/>
          </w:tcPr>
          <w:p>
            <w:r>
              <w:t>2021-05-01 - None</w:t>
            </w:r>
          </w:p>
        </w:tc>
      </w:tr>
    </w:tbl>
    <w:p>
      <w:pPr>
        <w:pStyle w:val="HSBody"/>
      </w:pPr>
      <w:r>
        <w:rPr>
          <w:b/>
        </w:rPr>
        <w:t>Total: $1,515,394</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Quinault Indian Nation's landslide risk profile reinforces the economic case for continued federal investment in FEMA Tribal Mitigation Plans.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Quinault Indian Nation's Landslide, Earthquake and Wildfire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Active awards under FEMA Tribal Mitigation Plans;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FEMA Tribal Mitigation Plans;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Quinault Indian Nation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Quinault Indian Nation's landslide risk profile reinforces the economic case for continued federal investment in DOT PROTECT.</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Quinault Indian Nation's Landslide, Earthquake and Wildfire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Quinault Indian Nation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Quinault Indian Nation's landslide risk profile reinforces the economic case for continued federal investment in USDA Wildfire Defense Grants.</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Quinault Indian Nation's Landslide, Earthquake and Wildfire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Quinault Indian Nation has not yet received funding through EPA GAP.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GAP:</w:t>
      </w:r>
    </w:p>
    <w:p>
      <w:pPr>
        <w:pStyle w:val="HSBody"/>
      </w:pPr>
      <w:r>
        <w:t>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Body"/>
      </w:pPr>
      <w:r>
        <w:t>Hazard Alignment: Quinault Indian Nation's landslide risk profile reinforces the economic case for continued federal investment in EPA GAP.</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Quinault Indian Nation's Landslide, Earthquake and Wildfire risk makes this program critical for community resilience</w:t>
      </w:r>
    </w:p>
    <w:p>
      <w:pPr>
        <w:pStyle w:val="HSCalloutDetail"/>
        <w:shd w:fill="EEF2FF" w:val="clear"/>
      </w:pPr>
      <w:r>
        <w:t>IMPACT: Based on program averages, a successful EPA GAP application could generate an estimated $135,000-$180,000 in regional economic impact, supporting approximately 1-1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Quinault Indian Nation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Quinault Indian Nation's landslide risk profile reinforces the economic case for continued federal investment in NOAA Tribal Grants.</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Quinault Indian Nation's Landslide, Earthquake and Wildfire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doe_indian_energy</w:t>
            </w:r>
          </w:p>
        </w:tc>
        <w:tc>
          <w:tcPr>
            <w:tcW w:type="dxa" w:w="2340"/>
            <w:shd w:fill="F2F2F2" w:val="clear"/>
          </w:tcPr>
          <w:p>
            <w:r>
              <w:t>81.087</w:t>
            </w:r>
          </w:p>
        </w:tc>
        <w:tc>
          <w:tcPr>
            <w:tcW w:type="dxa" w:w="2340"/>
            <w:shd w:fill="F2F2F2" w:val="clear"/>
          </w:tcPr>
          <w:p>
            <w:r>
              <w:t>$201,043</w:t>
            </w:r>
          </w:p>
        </w:tc>
        <w:tc>
          <w:tcPr>
            <w:tcW w:type="dxa" w:w="2340"/>
            <w:shd w:fill="F2F2F2" w:val="clear"/>
          </w:tcPr>
          <w:p>
            <w:r>
              <w:t>2021-10-01 - 2026-09-30</w:t>
            </w:r>
          </w:p>
        </w:tc>
      </w:tr>
    </w:tbl>
    <w:p>
      <w:pPr>
        <w:pStyle w:val="HSBody"/>
      </w:pPr>
      <w:r>
        <w:rPr>
          <w:b/>
        </w:rPr>
        <w:t>Total: $201,043</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DOE Indian Energy funding to Quinault Indian Nation generated an estimated $361,877-$482,503 in regional economic activity (BEA RIMS II methodology, output multiplier range 1.8-2.4x), supporting approximately 2-3 jobs (BLS employment requirements methodology).</w:t>
      </w:r>
    </w:p>
    <w:p>
      <w:pPr>
        <w:pStyle w:val="HSBody"/>
      </w:pPr>
      <w:r>
        <w:t>Hazard Alignment: Quinault Indian Nation's landslide risk profile reinforces the economic case for continued federal investment in DOE Indian Energy.</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Quinault Indian Nation's Landslide, Earthquake and Wildfire risk makes this program critical for community resilience</w:t>
      </w:r>
    </w:p>
    <w:p>
      <w:pPr>
        <w:pStyle w:val="HSCalloutDetail"/>
        <w:shd w:fill="EEF2FF" w:val="clear"/>
      </w:pPr>
      <w:r>
        <w:t>IMPACT: DOE Indian Energy funding to Quinault Indian Nation generated an estimated $361,877-$482,503 in regional economic activity (BEA RIMS II methodology, output multiplier range 1.8-2.4x), supporting approximately 2-3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DOE Indian Energy;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Quinault Indian Nation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Quinault Indian Nation's landslide risk profile reinforces the economic case for continued federal investment in HUD IHBG.</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Quinault Indian Nation's Landslide, Earthquake and Wildfire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Quinault Indian Nation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Quinault Indian Nation's landslide risk profile reinforces the economic case for continued federal investment in EPA STAG.</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Quinault Indian Nation's Landslide, Earthquake and Wildfire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Landslide risk profile</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Quinault Indian Nation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Landslide -- Risk Score: 84.1 -- (Very High)</w:t>
      </w:r>
    </w:p>
    <w:p>
      <w:pPr>
        <w:pStyle w:val="HSBody"/>
      </w:pPr>
      <w:r>
        <w:t>Earthquake -- Risk Score: 81.2 -- (Very High)</w:t>
      </w:r>
    </w:p>
    <w:p>
      <w:pPr>
        <w:pStyle w:val="HSBody"/>
      </w:pPr>
      <w:r>
        <w:t>Wildfire -- Risk Score: 71.5 --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Quinault Indian Nation's landslide risk profile reinforces the economic case for continued federal investment in Tribal Community Resilience Annual Awards.</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Quinault Indian Nation's Landslide, Earthquake and Wildfire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Patty Murray (D-WA)</w:t>
      </w:r>
    </w:p>
    <w:p>
      <w:pPr>
        <w:pStyle w:val="HSBody"/>
      </w:pPr>
      <w:r>
        <w:rPr>
          <w:b/>
        </w:rPr>
        <w:t>Sen. Patty Murray (D-WA) sits on Senate Committee on Appropriations -- direct influence on this program</w:t>
      </w:r>
    </w:p>
    <w:p>
      <w:pPr>
        <w:pStyle w:val="HSBody"/>
      </w:pPr>
      <w:r>
        <w:rPr>
          <w:b/>
        </w:rPr>
        <w:t>Sen. Patty Murray (D-WA) sits on Agriculture, Rural Development, Food and Drug Administration, and Related Agencies -- direct influence on this program</w:t>
      </w:r>
    </w:p>
    <w:p>
      <w:pPr>
        <w:pStyle w:val="HSBody"/>
      </w:pPr>
      <w:r>
        <w:rPr>
          <w:b/>
        </w:rPr>
        <w:t>Sen. Patty Murray (D-WA) sits on Commerce, Justice, Science, and Related Agencies -- direct influence on this program</w:t>
      </w:r>
    </w:p>
    <w:p>
      <w:pPr>
        <w:pStyle w:val="HSBody"/>
      </w:pPr>
      <w:r>
        <w:rPr>
          <w:b/>
        </w:rPr>
        <w:t>Sen. Patty Murray (D-WA) sits on Energy and Water Development -- direct influence on this program</w:t>
      </w:r>
    </w:p>
    <w:p>
      <w:pPr>
        <w:pStyle w:val="HSBody"/>
      </w:pPr>
      <w:r>
        <w:rPr>
          <w:b/>
        </w:rPr>
        <w:t>Sen. Patty Murray (D-WA) sits on Department of Interior, Environment, and Related Agencies -- direct influence on this program</w:t>
      </w:r>
    </w:p>
    <w:p>
      <w:pPr>
        <w:pStyle w:val="HSBody"/>
      </w:pPr>
      <w:r>
        <w:rPr>
          <w:b/>
        </w:rPr>
        <w:t>Sen. Patty Murray (D-WA) sits on Transportation, Housing and Urban Development, and Related Agencies -- direct influence on this program</w:t>
      </w:r>
    </w:p>
    <w:p>
      <w:pPr>
        <w:pStyle w:val="HSBody"/>
      </w:pPr>
      <w:r>
        <w:t>Sen. Maria Cantwell (D-WA)</w:t>
      </w:r>
    </w:p>
    <w:p>
      <w:pPr>
        <w:pStyle w:val="HSBody"/>
      </w:pPr>
      <w:r>
        <w:rPr>
          <w:b/>
        </w:rPr>
        <w:t>Sen. Maria Cantwell (D-WA) sits on Senate Committee on Commerce, Science, and Transportation -- direct influence on this program</w:t>
      </w:r>
    </w:p>
    <w:p>
      <w:pPr>
        <w:pStyle w:val="HSBody"/>
      </w:pPr>
      <w:r>
        <w:rPr>
          <w:b/>
        </w:rPr>
        <w:t>Sen. Maria Cantwell (D-WA) sits on Surface Transportation, Freight, Pipelines, and Safety -- direct influence on this program</w:t>
      </w:r>
    </w:p>
    <w:p>
      <w:pPr>
        <w:pStyle w:val="HSBody"/>
      </w:pPr>
      <w:r>
        <w:rPr>
          <w:b/>
        </w:rPr>
        <w:t>Sen. Maria Cantwell (D-WA) sits on Senate Committee on Energy and Natural Resources -- direct influence on this program</w:t>
      </w:r>
    </w:p>
    <w:p>
      <w:pPr>
        <w:pStyle w:val="HSBody"/>
      </w:pPr>
      <w:r>
        <w:rPr>
          <w:b/>
        </w:rPr>
        <w:t>Sen. Maria Cantwell (D-WA) sits on Senate Committee on Indian Affairs -- direct influence on this program</w:t>
      </w:r>
    </w:p>
    <w:p>
      <w:pPr>
        <w:pStyle w:val="HSBody"/>
      </w:pPr>
      <w:r>
        <w:t>Rep. Emily Randall (D-WA-06)</w:t>
      </w:r>
    </w:p>
    <w:p>
      <w:pPr>
        <w:pStyle w:val="HSBody"/>
      </w:pPr>
      <w:r>
        <w:rPr>
          <w:b/>
        </w:rPr>
        <w:t>Rep. Emily Randall (D-WA-06) sits on House Committee on Natural Resources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High (Score: 70.0)</w:t>
      </w:r>
    </w:p>
    <w:p>
      <w:pPr>
        <w:pStyle w:val="HSBody"/>
      </w:pPr>
      <w:r>
        <w:t>Social Vulnerability: Relatively Moderate (Score: 46.4)</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Landslide</w:t>
            </w:r>
          </w:p>
        </w:tc>
        <w:tc>
          <w:tcPr>
            <w:tcW w:type="dxa" w:w="2340"/>
            <w:shd w:fill="F2F2F2" w:val="clear"/>
          </w:tcPr>
          <w:p>
            <w:r>
              <w:t>84.1</w:t>
            </w:r>
          </w:p>
        </w:tc>
        <w:tc>
          <w:tcPr>
            <w:tcW w:type="dxa" w:w="2340"/>
            <w:shd w:fill="F2F2F2" w:val="clear"/>
          </w:tcPr>
          <w:p>
            <w:r>
              <w:t>Very High</w:t>
            </w:r>
          </w:p>
        </w:tc>
        <w:tc>
          <w:tcPr>
            <w:tcW w:type="dxa" w:w="2340"/>
            <w:shd w:fill="F2F2F2" w:val="clear"/>
          </w:tcPr>
          <w:p>
            <w:r>
              <w:t>$1,021,694</w:t>
            </w:r>
          </w:p>
        </w:tc>
      </w:tr>
      <w:tr>
        <w:tc>
          <w:tcPr>
            <w:tcW w:type="dxa" w:w="2340"/>
            <w:shd w:fill="FFFFFF" w:val="clear"/>
          </w:tcPr>
          <w:p>
            <w:r>
              <w:t>Earthquake</w:t>
            </w:r>
          </w:p>
        </w:tc>
        <w:tc>
          <w:tcPr>
            <w:tcW w:type="dxa" w:w="2340"/>
            <w:shd w:fill="FFFFFF" w:val="clear"/>
          </w:tcPr>
          <w:p>
            <w:r>
              <w:t>81.2</w:t>
            </w:r>
          </w:p>
        </w:tc>
        <w:tc>
          <w:tcPr>
            <w:tcW w:type="dxa" w:w="2340"/>
            <w:shd w:fill="FFFFFF" w:val="clear"/>
          </w:tcPr>
          <w:p>
            <w:r>
              <w:t>Very High</w:t>
            </w:r>
          </w:p>
        </w:tc>
        <w:tc>
          <w:tcPr>
            <w:tcW w:type="dxa" w:w="2340"/>
            <w:shd w:fill="FFFFFF" w:val="clear"/>
          </w:tcPr>
          <w:p>
            <w:r>
              <w:t>$64,783,696</w:t>
            </w:r>
          </w:p>
        </w:tc>
      </w:tr>
      <w:tr>
        <w:tc>
          <w:tcPr>
            <w:tcW w:type="dxa" w:w="2340"/>
            <w:shd w:fill="F2F2F2" w:val="clear"/>
          </w:tcPr>
          <w:p>
            <w:r>
              <w:t>Wildfire</w:t>
            </w:r>
          </w:p>
        </w:tc>
        <w:tc>
          <w:tcPr>
            <w:tcW w:type="dxa" w:w="2340"/>
            <w:shd w:fill="F2F2F2" w:val="clear"/>
          </w:tcPr>
          <w:p>
            <w:r>
              <w:t>71.5</w:t>
            </w:r>
          </w:p>
        </w:tc>
        <w:tc>
          <w:tcPr>
            <w:tcW w:type="dxa" w:w="2340"/>
            <w:shd w:fill="F2F2F2" w:val="clear"/>
          </w:tcPr>
          <w:p>
            <w:r>
              <w:t>Relatively High</w:t>
            </w:r>
          </w:p>
        </w:tc>
        <w:tc>
          <w:tcPr>
            <w:tcW w:type="dxa" w:w="2340"/>
            <w:shd w:fill="F2F2F2" w:val="clear"/>
          </w:tcPr>
          <w:p>
            <w:r>
              <w:t>$4,438,608</w:t>
            </w:r>
          </w:p>
        </w:tc>
      </w:tr>
      <w:tr>
        <w:tc>
          <w:tcPr>
            <w:tcW w:type="dxa" w:w="2340"/>
            <w:shd w:fill="FFFFFF" w:val="clear"/>
          </w:tcPr>
          <w:p>
            <w:r>
              <w:t>Inland Flooding</w:t>
            </w:r>
          </w:p>
        </w:tc>
        <w:tc>
          <w:tcPr>
            <w:tcW w:type="dxa" w:w="2340"/>
            <w:shd w:fill="FFFFFF" w:val="clear"/>
          </w:tcPr>
          <w:p>
            <w:r>
              <w:t>70.0</w:t>
            </w:r>
          </w:p>
        </w:tc>
        <w:tc>
          <w:tcPr>
            <w:tcW w:type="dxa" w:w="2340"/>
            <w:shd w:fill="FFFFFF" w:val="clear"/>
          </w:tcPr>
          <w:p>
            <w:r>
              <w:t>Relatively High</w:t>
            </w:r>
          </w:p>
        </w:tc>
        <w:tc>
          <w:tcPr>
            <w:tcW w:type="dxa" w:w="2340"/>
            <w:shd w:fill="FFFFFF" w:val="clear"/>
          </w:tcPr>
          <w:p>
            <w:r>
              <w:t>$34,905,372</w:t>
            </w:r>
          </w:p>
        </w:tc>
      </w:tr>
      <w:tr>
        <w:tc>
          <w:tcPr>
            <w:tcW w:type="dxa" w:w="2340"/>
            <w:shd w:fill="F2F2F2" w:val="clear"/>
          </w:tcPr>
          <w:p>
            <w:r>
              <w:t>Heat Wave</w:t>
            </w:r>
          </w:p>
        </w:tc>
        <w:tc>
          <w:tcPr>
            <w:tcW w:type="dxa" w:w="2340"/>
            <w:shd w:fill="F2F2F2" w:val="clear"/>
          </w:tcPr>
          <w:p>
            <w:r>
              <w:t>63.9</w:t>
            </w:r>
          </w:p>
        </w:tc>
        <w:tc>
          <w:tcPr>
            <w:tcW w:type="dxa" w:w="2340"/>
            <w:shd w:fill="F2F2F2" w:val="clear"/>
          </w:tcPr>
          <w:p>
            <w:r>
              <w:t>Relatively High</w:t>
            </w:r>
          </w:p>
        </w:tc>
        <w:tc>
          <w:tcPr>
            <w:tcW w:type="dxa" w:w="2340"/>
            <w:shd w:fill="F2F2F2" w:val="clear"/>
          </w:tcPr>
          <w:p>
            <w:r>
              <w:t>$2,550,619</w:t>
            </w:r>
          </w:p>
        </w:tc>
      </w:tr>
    </w:tbl>
    <w:p>
      <w:pPr>
        <w:pStyle w:val="HSSection"/>
      </w:pPr>
      <w:r>
        <w:t>Hazard-to-Program Alignment</w:t>
      </w:r>
    </w:p>
    <w:p>
      <w:pPr>
        <w:pStyle w:val="HSBody"/>
      </w:pPr>
      <w:r>
        <w:t>Quinault Indian Nation's top hazard exposures (Landslide, Earthquake, Wildfire)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Quinault Indian Nation.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Landslide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Active awards in affected programs; Landslide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Landslide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Landslide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Landslide risk profile</w:t>
      </w:r>
    </w:p>
    <w:p>
      <w:r>
        <w:br w:type="page"/>
      </w:r>
    </w:p>
    <w:p>
      <w:pPr>
        <w:pStyle w:val="Heading2"/>
      </w:pPr>
      <w:r>
        <w:t>Messaging Framework</w:t>
      </w:r>
    </w:p>
    <w:p>
      <w:pPr>
        <w:pStyle w:val="HSBody"/>
      </w:pPr>
      <w:r>
        <w:t>Audience-calibrated talking points for Quinault Indian Nation's advocacy engagements during the current congressional session.</w:t>
      </w:r>
    </w:p>
    <w:p>
      <w:pPr>
        <w:pStyle w:val="HSSection"/>
      </w:pPr>
      <w:r>
        <w:t>Core Message</w:t>
      </w:r>
    </w:p>
    <w:p>
      <w:pPr>
        <w:pStyle w:val="HSBody"/>
      </w:pPr>
      <w:r>
        <w:t>Quinault Indian Nation faces significant landslide risk. Congress has funded programs that address this risk, but administrative delivery gaps and structural barriers prevent these resources from reaching Tribal communities in WA.</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Quinault Indian Nation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Quinault Indian Nation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