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Red Cliff Band of Lake Superior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DOT PROTECT</w:t>
      </w:r>
      <w:r>
        <w:t xml:space="preserve">  </w:t>
      </w:r>
      <w:r>
        <w:rPr>
          <w:color w:val="4B5563"/>
          <w:sz w:val="16"/>
        </w:rPr>
        <w:t>[Secure]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Red Cliff Band of Lake Superior Chippewa Indians of Wisconsin's climate risk profile and geographic context.</w:t>
      </w:r>
    </w:p>
    <w:p>
      <w:r>
        <w:br w:type="page"/>
      </w:r>
    </w:p>
    <w:p>
      <w:pPr>
        <w:pStyle w:val="Heading2"/>
      </w:pPr>
      <w:r>
        <w:t>Executive Summary</w:t>
      </w:r>
    </w:p>
    <w:p>
      <w:pPr>
        <w:pStyle w:val="HSTitle"/>
      </w:pPr>
      <w:r>
        <w:t>Red Cliff Band of Lake Superior Chippewa Indians of Wisconsin -- WI</w:t>
      </w:r>
    </w:p>
    <w:p>
      <w:pPr>
        <w:pStyle w:val="HSBody"/>
      </w:pPr>
      <w:r>
        <w:t>This strategy document outlines Red Cliff Band of Lake Superior Chippewa Indians of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$10,074,870</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Red Cliff Band of Lake Superior Chippewa Indians of Wisconsin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Red Cliff Band of Lake Superior Chippewa Indians of Wisconsin's cold wave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Red Cliff Band of Lake Superior Chippewa Indians of Wisconsin's Cold Wave, Hail and Tornado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Red Cliff Band of Lake Superior Chippewa Indians of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Red Cliff Band of Lake Superior Chippewa Indians of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Red Cliff Band of Lake Superior Chippewa Indians of Wisconsin's advocacy engagements during the current congressional session.</w:t>
      </w:r>
    </w:p>
    <w:p>
      <w:pPr>
        <w:pStyle w:val="HSSection"/>
      </w:pPr>
      <w:r>
        <w:t>Core Message</w:t>
      </w:r>
    </w:p>
    <w:p>
      <w:pPr>
        <w:pStyle w:val="HSBody"/>
      </w:pPr>
      <w:r>
        <w:t>Red Cliff Band of Lake Superior Chippewa Indians of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Red Cliff Band of Lake Superior Chippewa Indians of Wisconsin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 Cliff Band of Lake Superior Chippewa Indians of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