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Standing Rock Sioux Tribe of North &amp; South Dakota</w:t>
      </w:r>
    </w:p>
    <w:p>
      <w:pPr>
        <w:pStyle w:val="HSBody"/>
      </w:pPr>
      <w:r>
        <w:t>Prepared for the offices of: 4 Senators, 2 Representatives</w:t>
      </w:r>
    </w:p>
    <w:p>
      <w:pPr>
        <w:pStyle w:val="HSBody"/>
      </w:pPr>
      <w:r>
        <w:t>State(s): ND, SD</w:t>
      </w:r>
    </w:p>
    <w:p>
      <w:pPr>
        <w:pStyle w:val="HSBody"/>
      </w:pPr>
      <w:r>
        <w:t>Ecoregion(s): mountain_west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HUD IHBG</w:t>
      </w:r>
      <w:r>
        <w:t xml:space="preserve">  </w:t>
      </w:r>
      <w:r>
        <w:rPr>
          <w:color w:val="4B5563"/>
          <w:sz w:val="16"/>
        </w:rPr>
        <w:t>[Stable]</w:t>
      </w:r>
    </w:p>
    <w:p>
      <w:pPr>
        <w:pStyle w:val="HSBody"/>
      </w:pPr>
      <w:r>
        <w:t>5. FEMA Tribal Mitigation Plans</w:t>
      </w:r>
      <w:r>
        <w:t xml:space="preserve">  </w:t>
      </w:r>
      <w:r>
        <w:rPr>
          <w:color w:val="4B5563"/>
          <w:sz w:val="16"/>
        </w:rPr>
        <w:t>[At Risk]</w:t>
      </w:r>
    </w:p>
    <w:p>
      <w:pPr>
        <w:pStyle w:val="HSBody"/>
      </w:pPr>
      <w:r>
        <w:t>6. USDA Wildfire Defense Grants</w:t>
      </w:r>
      <w:r>
        <w:t xml:space="preserve">  </w:t>
      </w:r>
      <w:r>
        <w:rPr>
          <w:color w:val="4B5563"/>
          <w:sz w:val="16"/>
        </w:rPr>
        <w:t>[Stable but Vulnerable]</w:t>
      </w:r>
    </w:p>
    <w:p>
      <w:pPr>
        <w:pStyle w:val="HSBody"/>
      </w:pPr>
      <w:r>
        <w:t>7. DOT PROTECT</w:t>
      </w:r>
      <w:r>
        <w:t xml:space="preserve">  </w:t>
      </w:r>
      <w:r>
        <w:rPr>
          <w:color w:val="4B5563"/>
          <w:sz w:val="16"/>
        </w:rPr>
        <w:t>[Secure]</w:t>
      </w:r>
    </w:p>
    <w:p>
      <w:pPr>
        <w:pStyle w:val="HSBody"/>
      </w:pPr>
      <w:r>
        <w:t>8. DOE Indian Energy</w:t>
      </w:r>
      <w:r>
        <w:t xml:space="preserve">  </w:t>
      </w:r>
      <w:r>
        <w:rPr>
          <w:color w:val="4B5563"/>
          <w:sz w:val="16"/>
        </w:rPr>
        <w:t>[Uncertain]</w:t>
      </w:r>
    </w:p>
    <w:p>
      <w:pPr>
        <w:pStyle w:val="HSBody"/>
      </w:pPr>
      <w:r>
        <w:t>9. EPA GAP</w:t>
      </w:r>
      <w:r>
        <w:t xml:space="preserve">  </w:t>
      </w:r>
      <w:r>
        <w:rPr>
          <w:color w:val="4B5563"/>
          <w:sz w:val="16"/>
        </w:rPr>
        <w:t>[Stable]</w:t>
      </w:r>
    </w:p>
    <w:p>
      <w:pPr>
        <w:pStyle w:val="HSBody"/>
      </w:pPr>
      <w:r>
        <w:t>10. EPA STAG</w:t>
      </w:r>
      <w:r>
        <w:t xml:space="preserve">  </w:t>
      </w:r>
      <w:r>
        <w:rPr>
          <w:color w:val="4B5563"/>
          <w:sz w:val="16"/>
        </w:rPr>
        <w:t>[Stable]</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Standing Rock Sioux Tribe of North &amp; South Dakota's climate risk profile and geographic context.</w:t>
      </w:r>
    </w:p>
    <w:p>
      <w:r>
        <w:br w:type="page"/>
      </w:r>
    </w:p>
    <w:p>
      <w:pPr>
        <w:pStyle w:val="Heading2"/>
      </w:pPr>
      <w:r>
        <w:t>Executive Summary</w:t>
      </w:r>
    </w:p>
    <w:p>
      <w:pPr>
        <w:pStyle w:val="HSTitle"/>
      </w:pPr>
      <w:r>
        <w:t>Standing Rock Sioux Tribe of North &amp; South Dakota -- ND, SD</w:t>
      </w:r>
    </w:p>
    <w:p>
      <w:pPr>
        <w:pStyle w:val="HSBody"/>
      </w:pPr>
      <w:r>
        <w:t>This strategy document outlines Standing Rock Sioux Tribe of North &amp; South Dakota's federal climate resilience funding landscape, identifies strategic leverage points across key programs, and recommends sequenced advocacy actions for the current congressional session.</w:t>
      </w:r>
    </w:p>
    <w:p>
      <w:pPr>
        <w:pStyle w:val="HSBody"/>
      </w:pPr>
      <w:r>
        <w:t>Top Climate Hazards: Winter Weather, Wildfire, Cold Wave</w:t>
      </w:r>
    </w:p>
    <w:p>
      <w:pPr>
        <w:pStyle w:val="HSBody"/>
      </w:pPr>
      <w:r>
        <w:t>Total Federal Climate Resilience Funding: $114,008,364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John Hoeven (R-ND)</w:t>
            </w:r>
          </w:p>
        </w:tc>
        <w:tc>
          <w:tcPr>
            <w:tcW w:type="dxa" w:w="1872"/>
            <w:shd w:fill="F2F2F2" w:val="clear"/>
          </w:tcPr>
          <w:p>
            <w:r>
              <w:t>Senator</w:t>
            </w:r>
          </w:p>
        </w:tc>
        <w:tc>
          <w:tcPr>
            <w:tcW w:type="dxa" w:w="1872"/>
            <w:shd w:fill="F2F2F2" w:val="clear"/>
          </w:tcPr>
          <w:p>
            <w:r>
              <w:t>ND</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w:t>
            </w:r>
          </w:p>
        </w:tc>
      </w:tr>
      <w:tr>
        <w:tc>
          <w:tcPr>
            <w:tcW w:type="dxa" w:w="1872"/>
            <w:shd w:fill="FFFFFF" w:val="clear"/>
          </w:tcPr>
          <w:p>
            <w:r>
              <w:t>Sen. Kevin Cramer (R-ND)</w:t>
            </w:r>
          </w:p>
        </w:tc>
        <w:tc>
          <w:tcPr>
            <w:tcW w:type="dxa" w:w="1872"/>
            <w:shd w:fill="FFFFFF" w:val="clear"/>
          </w:tcPr>
          <w:p>
            <w:r>
              <w:t>Senator</w:t>
            </w:r>
          </w:p>
        </w:tc>
        <w:tc>
          <w:tcPr>
            <w:tcW w:type="dxa" w:w="1872"/>
            <w:shd w:fill="FFFFFF" w:val="clear"/>
          </w:tcPr>
          <w:p>
            <w:r>
              <w:t>ND</w:t>
            </w:r>
          </w:p>
        </w:tc>
        <w:tc>
          <w:tcPr>
            <w:tcW w:type="dxa" w:w="1872"/>
            <w:shd w:fill="FFFFFF" w:val="clear"/>
          </w:tcPr>
          <w:p>
            <w:r>
              <w:t>At-Large</w:t>
            </w:r>
          </w:p>
        </w:tc>
        <w:tc>
          <w:tcPr>
            <w:tcW w:type="dxa" w:w="1872"/>
            <w:shd w:fill="FFFFFF" w:val="clear"/>
          </w:tcPr>
          <w:p>
            <w:r/>
          </w:p>
        </w:tc>
      </w:tr>
      <w:tr>
        <w:tc>
          <w:tcPr>
            <w:tcW w:type="dxa" w:w="1872"/>
            <w:shd w:fill="F2F2F2" w:val="clear"/>
          </w:tcPr>
          <w:p>
            <w:r>
              <w:t>Sen. John Thune (R-SD)</w:t>
            </w:r>
          </w:p>
        </w:tc>
        <w:tc>
          <w:tcPr>
            <w:tcW w:type="dxa" w:w="1872"/>
            <w:shd w:fill="F2F2F2" w:val="clear"/>
          </w:tcPr>
          <w:p>
            <w:r>
              <w:t>Senator</w:t>
            </w:r>
          </w:p>
        </w:tc>
        <w:tc>
          <w:tcPr>
            <w:tcW w:type="dxa" w:w="1872"/>
            <w:shd w:fill="F2F2F2" w:val="clear"/>
          </w:tcPr>
          <w:p>
            <w:r>
              <w:t>SD</w:t>
            </w:r>
          </w:p>
        </w:tc>
        <w:tc>
          <w:tcPr>
            <w:tcW w:type="dxa" w:w="1872"/>
            <w:shd w:fill="F2F2F2" w:val="clear"/>
          </w:tcPr>
          <w:p>
            <w:r>
              <w:t>At-Large</w:t>
            </w:r>
          </w:p>
        </w:tc>
        <w:tc>
          <w:tcPr>
            <w:tcW w:type="dxa" w:w="1872"/>
            <w:shd w:fill="F2F2F2" w:val="clear"/>
          </w:tcPr>
          <w:p>
            <w:r>
              <w:t>Senate Committee on Commerce, Science, and Transportation; Surface Transportation, Freight, Pipelines, and Safety</w:t>
            </w:r>
          </w:p>
        </w:tc>
      </w:tr>
      <w:tr>
        <w:tc>
          <w:tcPr>
            <w:tcW w:type="dxa" w:w="1872"/>
            <w:shd w:fill="FFFFFF" w:val="clear"/>
          </w:tcPr>
          <w:p>
            <w:r>
              <w:t>Sen. Mike Rounds (R-SD)</w:t>
            </w:r>
          </w:p>
        </w:tc>
        <w:tc>
          <w:tcPr>
            <w:tcW w:type="dxa" w:w="1872"/>
            <w:shd w:fill="FFFFFF" w:val="clear"/>
          </w:tcPr>
          <w:p>
            <w:r>
              <w:t>Senator</w:t>
            </w:r>
          </w:p>
        </w:tc>
        <w:tc>
          <w:tcPr>
            <w:tcW w:type="dxa" w:w="1872"/>
            <w:shd w:fill="FFFFFF" w:val="clear"/>
          </w:tcPr>
          <w:p>
            <w:r>
              <w:t>SD</w:t>
            </w:r>
          </w:p>
        </w:tc>
        <w:tc>
          <w:tcPr>
            <w:tcW w:type="dxa" w:w="1872"/>
            <w:shd w:fill="FFFFFF" w:val="clear"/>
          </w:tcPr>
          <w:p>
            <w:r>
              <w:t>At-Large</w:t>
            </w:r>
          </w:p>
        </w:tc>
        <w:tc>
          <w:tcPr>
            <w:tcW w:type="dxa" w:w="1872"/>
            <w:shd w:fill="FFFFFF" w:val="clear"/>
          </w:tcPr>
          <w:p>
            <w:r>
              <w:t>Senate Committee on Appropriations; Agriculture, Rural Development, Food and Drug Administration, and Related Agencies; Energy and Water Development; Department of Interior, Environment, and Related Agencies; Senate Committee on Indian Affairs</w:t>
            </w:r>
          </w:p>
        </w:tc>
      </w:tr>
      <w:tr>
        <w:tc>
          <w:tcPr>
            <w:tcW w:type="dxa" w:w="1872"/>
            <w:shd w:fill="F2F2F2" w:val="clear"/>
          </w:tcPr>
          <w:p>
            <w:r>
              <w:t>Rep. Dusty Johnson (R-SD-AL)</w:t>
            </w:r>
          </w:p>
        </w:tc>
        <w:tc>
          <w:tcPr>
            <w:tcW w:type="dxa" w:w="1872"/>
            <w:shd w:fill="F2F2F2" w:val="clear"/>
          </w:tcPr>
          <w:p>
            <w:r>
              <w:t>Representative</w:t>
            </w:r>
          </w:p>
        </w:tc>
        <w:tc>
          <w:tcPr>
            <w:tcW w:type="dxa" w:w="1872"/>
            <w:shd w:fill="F2F2F2" w:val="clear"/>
          </w:tcPr>
          <w:p>
            <w:r>
              <w:t>SD</w:t>
            </w:r>
          </w:p>
        </w:tc>
        <w:tc>
          <w:tcPr>
            <w:tcW w:type="dxa" w:w="1872"/>
            <w:shd w:fill="F2F2F2" w:val="clear"/>
          </w:tcPr>
          <w:p>
            <w:r/>
          </w:p>
        </w:tc>
        <w:tc>
          <w:tcPr>
            <w:tcW w:type="dxa" w:w="1872"/>
            <w:shd w:fill="F2F2F2" w:val="clear"/>
          </w:tcPr>
          <w:p>
            <w:r/>
          </w:p>
        </w:tc>
      </w:tr>
      <w:tr>
        <w:tc>
          <w:tcPr>
            <w:tcW w:type="dxa" w:w="1872"/>
            <w:shd w:fill="FFFFFF" w:val="clear"/>
          </w:tcPr>
          <w:p>
            <w:r>
              <w:t>Rep. Julie Fedorchak (R-ND-AL)</w:t>
            </w:r>
          </w:p>
        </w:tc>
        <w:tc>
          <w:tcPr>
            <w:tcW w:type="dxa" w:w="1872"/>
            <w:shd w:fill="FFFFFF" w:val="clear"/>
          </w:tcPr>
          <w:p>
            <w:r>
              <w:t>Representative</w:t>
            </w:r>
          </w:p>
        </w:tc>
        <w:tc>
          <w:tcPr>
            <w:tcW w:type="dxa" w:w="1872"/>
            <w:shd w:fill="FFFFFF" w:val="clear"/>
          </w:tcPr>
          <w:p>
            <w:r>
              <w:t>ND</w:t>
            </w:r>
          </w:p>
        </w:tc>
        <w:tc>
          <w:tcPr>
            <w:tcW w:type="dxa" w:w="1872"/>
            <w:shd w:fill="FFFFFF" w:val="clear"/>
          </w:tcPr>
          <w:p>
            <w:r/>
          </w:p>
        </w:tc>
        <w:tc>
          <w:tcPr>
            <w:tcW w:type="dxa" w:w="1872"/>
            <w:shd w:fill="FFFFFF" w:val="clear"/>
          </w:tcPr>
          <w:p>
            <w:r/>
          </w:p>
        </w:tc>
      </w:tr>
    </w:tbl>
    <w:p>
      <w:pPr>
        <w:pStyle w:val="HSBody"/>
      </w:pPr>
      <w:r>
        <w:t>3 members with relevant committee assignments</w:t>
      </w:r>
    </w:p>
    <w:p>
      <w:pPr>
        <w:pStyle w:val="HSSection"/>
      </w:pPr>
      <w:r>
        <w:t>Strategic Notes</w:t>
      </w:r>
    </w:p>
    <w:p>
      <w:pPr>
        <w:pStyle w:val="HSBody"/>
      </w:pPr>
      <w:r>
        <w:t>Sen. John Hoeven (R-ND): Sits on Senate Committee on Appropriations; Agriculture, Rural Development, Food and Drug Administration, and Related Agencies; Energy and Water Development; Department of Interior, Environment, and Related Agencies; Transportation, Housing and Urban Development, and Related Agencies; Senate Committee on Energy and Natural Resources; Energy; Senate Committee on Indian Affairs. Direct influence on relevant programs.</w:t>
      </w:r>
    </w:p>
    <w:p>
      <w:pPr>
        <w:pStyle w:val="HSBody"/>
      </w:pPr>
      <w:r>
        <w:t>Sen. John Thune (R-SD): Sits on Senate Committee on Commerce, Science, and Transportation; Surface Transportation, Freight, Pipelines, and Safety. Direct influence on relevant programs.</w:t>
      </w:r>
    </w:p>
    <w:p>
      <w:pPr>
        <w:pStyle w:val="HSBody"/>
      </w:pPr>
      <w:r>
        <w:t>Sen. Mike Rounds (R-SD): Sits on Senate Committee on Appropriations; Agriculture, Rural Development, Food and Drug Administration, and Related Agencies; Energy and Water Development; Department of Interior, Environment, and Related Agencies; Senate Committee on Indian Affairs.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FEMA BRIC.</w:t>
      </w:r>
    </w:p>
    <w:p>
      <w:pPr>
        <w:pStyle w:val="HSBody"/>
      </w:pPr>
      <w:r>
        <w:t>Per-District Impact Allocation:</w:t>
      </w:r>
    </w:p>
    <w:p>
      <w:pPr>
        <w:pStyle w:val="HSBody"/>
      </w:pPr>
      <w:r>
        <w:t xml:space="preserve">  SD-AL (69% overlap): $623,700 - $831,600</w:t>
      </w:r>
    </w:p>
    <w:p>
      <w:pPr>
        <w:pStyle w:val="HSBody"/>
      </w:pPr>
      <w:r>
        <w:t xml:space="preserve">  ND-AL (31% overlap): $276,300 - $368,400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BIA Tribal Climate Resilience.</w:t>
      </w:r>
    </w:p>
    <w:p>
      <w:pPr>
        <w:pStyle w:val="HSBody"/>
      </w:pPr>
      <w:r>
        <w:t>Per-District Impact Allocation:</w:t>
      </w:r>
    </w:p>
    <w:p>
      <w:pPr>
        <w:pStyle w:val="HSBody"/>
      </w:pPr>
      <w:r>
        <w:t xml:space="preserve">  SD-AL (69% overlap): $187,110 - $249,480</w:t>
      </w:r>
    </w:p>
    <w:p>
      <w:pPr>
        <w:pStyle w:val="HSBody"/>
      </w:pPr>
      <w:r>
        <w:t xml:space="preserve">  ND-AL (31% overlap): $82,890 - $110,520</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IRS Elective Pay.</w:t>
      </w:r>
    </w:p>
    <w:p>
      <w:pPr>
        <w:pStyle w:val="HSBody"/>
      </w:pPr>
      <w:r>
        <w:t>Per-District Impact Allocation:</w:t>
      </w:r>
    </w:p>
    <w:p>
      <w:pPr>
        <w:pStyle w:val="HSBody"/>
      </w:pPr>
      <w:r>
        <w:t xml:space="preserve">  SD-AL (69% overlap): $249,480 - $332,640</w:t>
      </w:r>
    </w:p>
    <w:p>
      <w:pPr>
        <w:pStyle w:val="HSBody"/>
      </w:pPr>
      <w:r>
        <w:t xml:space="preserve">  ND-AL (31% overlap): $110,520 - $147,360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$91,132,335</w:t>
            </w:r>
          </w:p>
        </w:tc>
        <w:tc>
          <w:tcPr>
            <w:tcW w:type="dxa" w:w="2340"/>
            <w:shd w:fill="F2F2F2" w:val="clear"/>
          </w:tcPr>
          <w:p>
            <w:r>
              <w:t>2012-04-30 - 2034-09-30</w:t>
            </w:r>
          </w:p>
        </w:tc>
      </w:tr>
    </w:tbl>
    <w:p>
      <w:pPr>
        <w:pStyle w:val="HSBody"/>
      </w:pPr>
      <w:r>
        <w:rPr>
          <w:b/>
        </w:rPr>
        <w:t>Total: $91,132,335</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HUD IHBG funding to Standing Rock Sioux Tribe of North &amp; South Dakota generated an estimated $164,038,203-$218,717,604 in regional economic activity (BEA RIMS II methodology, output multiplier range 1.8-2.4x), supporting approximately 729-1367 jobs (BLS employment requirements methodology).</w:t>
      </w:r>
    </w:p>
    <w:p>
      <w:pPr>
        <w:pStyle w:val="HSBody"/>
      </w:pPr>
      <w:r>
        <w:t>Hazard Alignment: Standing Rock Sioux Tribe of North &amp; South Dakota's winter weather risk profile reinforces the economic case for continued federal investment in HUD IHBG.</w:t>
      </w:r>
    </w:p>
    <w:p>
      <w:pPr>
        <w:pStyle w:val="HSBody"/>
      </w:pPr>
      <w:r>
        <w:t>Per-District Impact Allocation:</w:t>
      </w:r>
    </w:p>
    <w:p>
      <w:pPr>
        <w:pStyle w:val="HSBody"/>
      </w:pPr>
      <w:r>
        <w:t xml:space="preserve">  SD-AL (69% overlap): $113,678,475 - $151,571,300</w:t>
      </w:r>
    </w:p>
    <w:p>
      <w:pPr>
        <w:pStyle w:val="HSBody"/>
      </w:pPr>
      <w:r>
        <w:t xml:space="preserve">  ND-AL (31% overlap): $50,359,728 - $67,146,304</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HUD IHBG funding to Standing Rock Sioux Tribe of North &amp; South Dakota generated an estimated $164,038,203-$218,717,604 in regional economic activity (BEA RIMS II methodology, output multiplier range 1.8-2.4x), supporting approximately 729-1367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FEMA Tribal Mitigation Plans.</w:t>
      </w:r>
    </w:p>
    <w:p>
      <w:pPr>
        <w:pStyle w:val="HSBody"/>
      </w:pPr>
      <w:r>
        <w:t>Per-District Impact Allocation:</w:t>
      </w:r>
    </w:p>
    <w:p>
      <w:pPr>
        <w:pStyle w:val="HSBody"/>
      </w:pPr>
      <w:r>
        <w:t xml:space="preserve">  SD-AL (69% overlap): $374,220 - $498,960</w:t>
      </w:r>
    </w:p>
    <w:p>
      <w:pPr>
        <w:pStyle w:val="HSBody"/>
      </w:pPr>
      <w:r>
        <w:t xml:space="preserve">  ND-AL (31% overlap): $165,780 - $221,040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USDA Wildfire Defense Grants.</w:t>
      </w:r>
    </w:p>
    <w:p>
      <w:pPr>
        <w:pStyle w:val="HSBody"/>
      </w:pPr>
      <w:r>
        <w:t>Per-District Impact Allocation:</w:t>
      </w:r>
    </w:p>
    <w:p>
      <w:pPr>
        <w:pStyle w:val="HSBody"/>
      </w:pPr>
      <w:r>
        <w:t xml:space="preserve">  SD-AL (69% overlap): $436,590 - $582,120</w:t>
      </w:r>
    </w:p>
    <w:p>
      <w:pPr>
        <w:pStyle w:val="HSBody"/>
      </w:pPr>
      <w:r>
        <w:t xml:space="preserve">  ND-AL (31% overlap): $193,410 - $257,880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DOT PROTECT.</w:t>
      </w:r>
    </w:p>
    <w:p>
      <w:pPr>
        <w:pStyle w:val="HSBody"/>
      </w:pPr>
      <w:r>
        <w:t>Per-District Impact Allocation:</w:t>
      </w:r>
    </w:p>
    <w:p>
      <w:pPr>
        <w:pStyle w:val="HSBody"/>
      </w:pPr>
      <w:r>
        <w:t xml:space="preserve">  SD-AL (69% overlap): $311,850 - $415,800</w:t>
      </w:r>
    </w:p>
    <w:p>
      <w:pPr>
        <w:pStyle w:val="HSBody"/>
      </w:pPr>
      <w:r>
        <w:t xml:space="preserve">  ND-AL (31% overlap): $138,150 - $184,200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$4,000,000</w:t>
            </w:r>
          </w:p>
        </w:tc>
        <w:tc>
          <w:tcPr>
            <w:tcW w:type="dxa" w:w="2340"/>
            <w:shd w:fill="F2F2F2" w:val="clear"/>
          </w:tcPr>
          <w:p>
            <w:r>
              <w:t>2024-01-01 - 2026-12-31</w:t>
            </w:r>
          </w:p>
        </w:tc>
      </w:tr>
    </w:tbl>
    <w:p>
      <w:pPr>
        <w:pStyle w:val="HSBody"/>
      </w:pPr>
      <w:r>
        <w:rPr>
          <w:b/>
        </w:rPr>
        <w:t>Total: $4,000,000</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DOE Indian Energy funding to Standing Rock Sioux Tribe of North &amp; South Dakota generated an estimated $7,200,000-$9,600,000 in regional economic activity (BEA RIMS II methodology, output multiplier range 1.8-2.4x), supporting approximately 32-60 jobs (BLS employment requirements methodology).</w:t>
      </w:r>
    </w:p>
    <w:p>
      <w:pPr>
        <w:pStyle w:val="HSBody"/>
      </w:pPr>
      <w:r>
        <w:t>Hazard Alignment: Standing Rock Sioux Tribe of North &amp; South Dakota's winter weather risk profile reinforces the economic case for continued federal investment in DOE Indian Energy.</w:t>
      </w:r>
    </w:p>
    <w:p>
      <w:pPr>
        <w:pStyle w:val="HSBody"/>
      </w:pPr>
      <w:r>
        <w:t>Per-District Impact Allocation:</w:t>
      </w:r>
    </w:p>
    <w:p>
      <w:pPr>
        <w:pStyle w:val="HSBody"/>
      </w:pPr>
      <w:r>
        <w:t xml:space="preserve">  SD-AL (69% overlap): $4,989,600 - $6,652,800</w:t>
      </w:r>
    </w:p>
    <w:p>
      <w:pPr>
        <w:pStyle w:val="HSBody"/>
      </w:pPr>
      <w:r>
        <w:t xml:space="preserve">  ND-AL (31% overlap): $2,210,400 - $2,947,200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DOE Indian Energy funding to Standing Rock Sioux Tribe of North &amp; South Dakota generated an estimated $7,200,000-$9,600,000 in regional economic activity (BEA RIMS II methodology, output multiplier range 1.8-2.4x), supporting approximately 32-60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EPA GAP.</w:t>
      </w:r>
    </w:p>
    <w:p>
      <w:pPr>
        <w:pStyle w:val="HSBody"/>
      </w:pPr>
      <w:r>
        <w:t>Per-District Impact Allocation:</w:t>
      </w:r>
    </w:p>
    <w:p>
      <w:pPr>
        <w:pStyle w:val="HSBody"/>
      </w:pPr>
      <w:r>
        <w:t xml:space="preserve">  SD-AL (69% overlap): $93,555 - $124,740</w:t>
      </w:r>
    </w:p>
    <w:p>
      <w:pPr>
        <w:pStyle w:val="HSBody"/>
      </w:pPr>
      <w:r>
        <w:t xml:space="preserve">  ND-AL (31% overlap): $41,445 - $55,260</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EPA STAG.</w:t>
      </w:r>
    </w:p>
    <w:p>
      <w:pPr>
        <w:pStyle w:val="HSBody"/>
      </w:pPr>
      <w:r>
        <w:t>Per-District Impact Allocation:</w:t>
      </w:r>
    </w:p>
    <w:p>
      <w:pPr>
        <w:pStyle w:val="HSBody"/>
      </w:pPr>
      <w:r>
        <w:t xml:space="preserve">  SD-AL (69% overlap): $124,740 - $166,320</w:t>
      </w:r>
    </w:p>
    <w:p>
      <w:pPr>
        <w:pStyle w:val="HSBody"/>
      </w:pPr>
      <w:r>
        <w:t xml:space="preserve">  ND-AL (31% overlap): $55,260 - $73,680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NOAA Tribal Grants.</w:t>
      </w:r>
    </w:p>
    <w:p>
      <w:pPr>
        <w:pStyle w:val="HSBody"/>
      </w:pPr>
      <w:r>
        <w:t>Per-District Impact Allocation:</w:t>
      </w:r>
    </w:p>
    <w:p>
      <w:pPr>
        <w:pStyle w:val="HSBody"/>
      </w:pPr>
      <w:r>
        <w:t xml:space="preserve">  SD-AL (69% overlap): $187,110 - $249,480</w:t>
      </w:r>
    </w:p>
    <w:p>
      <w:pPr>
        <w:pStyle w:val="HSBody"/>
      </w:pPr>
      <w:r>
        <w:t xml:space="preserve">  ND-AL (31% overlap): $82,890 - $110,520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Winter Weather risk profile</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Standing Rock Sioux Tribe of North &amp; South Dakota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Winter Weather -- Risk Score: 71.7 -- (Relatively High)</w:t>
      </w:r>
    </w:p>
    <w:p>
      <w:pPr>
        <w:pStyle w:val="HSBody"/>
      </w:pPr>
      <w:r>
        <w:t>Wildfire -- Risk Score: 67.2 -- (Relatively High)</w:t>
      </w:r>
    </w:p>
    <w:p>
      <w:pPr>
        <w:pStyle w:val="HSBody"/>
      </w:pPr>
      <w:r>
        <w:t>Cold Wave -- Risk Score: 64.4 --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Standing Rock Sioux Tribe of North &amp; South Dakota's winter weather risk profile reinforces the economic case for continued federal investment in Tribal Community Resilience Annual Awards.</w:t>
      </w:r>
    </w:p>
    <w:p>
      <w:pPr>
        <w:pStyle w:val="HSBody"/>
      </w:pPr>
      <w:r>
        <w:t>Per-District Impact Allocation:</w:t>
      </w:r>
    </w:p>
    <w:p>
      <w:pPr>
        <w:pStyle w:val="HSBody"/>
      </w:pPr>
      <w:r>
        <w:t xml:space="preserve">  SD-AL (69% overlap): $124,740 - $166,320</w:t>
      </w:r>
    </w:p>
    <w:p>
      <w:pPr>
        <w:pStyle w:val="HSBody"/>
      </w:pPr>
      <w:r>
        <w:t xml:space="preserve">  ND-AL (31% overlap): $55,260 - $73,680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Standing Rock Sioux Tribe of North &amp; South Dakota's Winter Weather, Wildfire and Cold Wave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John Hoeven (R-ND)</w:t>
      </w:r>
    </w:p>
    <w:p>
      <w:pPr>
        <w:pStyle w:val="HSBody"/>
      </w:pPr>
      <w:r>
        <w:rPr>
          <w:b/>
        </w:rPr>
        <w:t>Sen. John Hoeven (R-ND) sits on Senate Committee on Appropriations -- direct influence on this program</w:t>
      </w:r>
    </w:p>
    <w:p>
      <w:pPr>
        <w:pStyle w:val="HSBody"/>
      </w:pPr>
      <w:r>
        <w:rPr>
          <w:b/>
        </w:rPr>
        <w:t>Sen. John Hoeven (R-ND) sits on Agriculture, Rural Development, Food and Drug Administration, and Related Agencies -- direct influence on this program</w:t>
      </w:r>
    </w:p>
    <w:p>
      <w:pPr>
        <w:pStyle w:val="HSBody"/>
      </w:pPr>
      <w:r>
        <w:rPr>
          <w:b/>
        </w:rPr>
        <w:t>Sen. John Hoeven (R-ND) sits on Energy and Water Development -- direct influence on this program</w:t>
      </w:r>
    </w:p>
    <w:p>
      <w:pPr>
        <w:pStyle w:val="HSBody"/>
      </w:pPr>
      <w:r>
        <w:rPr>
          <w:b/>
        </w:rPr>
        <w:t>Sen. John Hoeven (R-ND) sits on Department of Interior, Environment, and Related Agencies -- direct influence on this program</w:t>
      </w:r>
    </w:p>
    <w:p>
      <w:pPr>
        <w:pStyle w:val="HSBody"/>
      </w:pPr>
      <w:r>
        <w:rPr>
          <w:b/>
        </w:rPr>
        <w:t>Sen. John Hoeven (R-ND) sits on Transportation, Housing and Urban Development, and Related Agencies -- direct influence on this program</w:t>
      </w:r>
    </w:p>
    <w:p>
      <w:pPr>
        <w:pStyle w:val="HSBody"/>
      </w:pPr>
      <w:r>
        <w:rPr>
          <w:b/>
        </w:rPr>
        <w:t>Sen. John Hoeven (R-ND) sits on Senate Committee on Energy and Natural Resources -- direct influence on this program</w:t>
      </w:r>
    </w:p>
    <w:p>
      <w:pPr>
        <w:pStyle w:val="HSBody"/>
      </w:pPr>
      <w:r>
        <w:rPr>
          <w:b/>
        </w:rPr>
        <w:t>Sen. John Hoeven (R-ND) sits on Energy -- direct influence on this program</w:t>
      </w:r>
    </w:p>
    <w:p>
      <w:pPr>
        <w:pStyle w:val="HSBody"/>
      </w:pPr>
      <w:r>
        <w:rPr>
          <w:b/>
        </w:rPr>
        <w:t>Sen. John Hoeven (R-ND) sits on Senate Committee on Indian Affairs -- direct influence on this program</w:t>
      </w:r>
    </w:p>
    <w:p>
      <w:pPr>
        <w:pStyle w:val="HSBody"/>
      </w:pPr>
      <w:r>
        <w:t>Sen. Kevin Cramer (R-ND)</w:t>
      </w:r>
    </w:p>
    <w:p>
      <w:pPr>
        <w:pStyle w:val="HSBody"/>
      </w:pPr>
      <w:r>
        <w:t>Sen. John Thune (R-SD)</w:t>
      </w:r>
    </w:p>
    <w:p>
      <w:pPr>
        <w:pStyle w:val="HSBody"/>
      </w:pPr>
      <w:r>
        <w:rPr>
          <w:b/>
        </w:rPr>
        <w:t>Sen. John Thune (R-SD) sits on Senate Committee on Commerce, Science, and Transportation -- direct influence on this program</w:t>
      </w:r>
    </w:p>
    <w:p>
      <w:pPr>
        <w:pStyle w:val="HSBody"/>
      </w:pPr>
      <w:r>
        <w:rPr>
          <w:b/>
        </w:rPr>
        <w:t>Sen. John Thune (R-SD) sits on Surface Transportation, Freight, Pipelines, and Safety -- direct influence on this program</w:t>
      </w:r>
    </w:p>
    <w:p>
      <w:pPr>
        <w:pStyle w:val="HSBody"/>
      </w:pPr>
      <w:r>
        <w:t>Sen. Mike Rounds (R-SD)</w:t>
      </w:r>
    </w:p>
    <w:p>
      <w:pPr>
        <w:pStyle w:val="HSBody"/>
      </w:pPr>
      <w:r>
        <w:rPr>
          <w:b/>
        </w:rPr>
        <w:t>Sen. Mike Rounds (R-SD) sits on Senate Committee on Appropriations -- direct influence on this program</w:t>
      </w:r>
    </w:p>
    <w:p>
      <w:pPr>
        <w:pStyle w:val="HSBody"/>
      </w:pPr>
      <w:r>
        <w:rPr>
          <w:b/>
        </w:rPr>
        <w:t>Sen. Mike Rounds (R-SD) sits on Agriculture, Rural Development, Food and Drug Administration, and Related Agencies -- direct influence on this program</w:t>
      </w:r>
    </w:p>
    <w:p>
      <w:pPr>
        <w:pStyle w:val="HSBody"/>
      </w:pPr>
      <w:r>
        <w:rPr>
          <w:b/>
        </w:rPr>
        <w:t>Sen. Mike Rounds (R-SD) sits on Energy and Water Development -- direct influence on this program</w:t>
      </w:r>
    </w:p>
    <w:p>
      <w:pPr>
        <w:pStyle w:val="HSBody"/>
      </w:pPr>
      <w:r>
        <w:rPr>
          <w:b/>
        </w:rPr>
        <w:t>Sen. Mike Rounds (R-SD) sits on Department of Interior, Environment, and Related Agencies -- direct influence on this program</w:t>
      </w:r>
    </w:p>
    <w:p>
      <w:pPr>
        <w:pStyle w:val="HSBody"/>
      </w:pPr>
      <w:r>
        <w:rPr>
          <w:b/>
        </w:rPr>
        <w:t>Sen. Mike Rounds (R-SD) sits on Senate Committee on Indian Affairs -- direct influence on this program</w:t>
      </w:r>
    </w:p>
    <w:p>
      <w:pPr>
        <w:pStyle w:val="HSBody"/>
      </w:pPr>
      <w:r>
        <w:t>Rep. Dusty Johnson (R-SD-AL)</w:t>
      </w:r>
    </w:p>
    <w:p>
      <w:pPr>
        <w:pStyle w:val="HSBody"/>
      </w:pPr>
      <w:r>
        <w:t>Rep. Julie Fedorchak (R-ND-AL)</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Low (Score: 24.8)</w:t>
      </w:r>
    </w:p>
    <w:p>
      <w:pPr>
        <w:pStyle w:val="HSBody"/>
      </w:pPr>
      <w:r>
        <w:t>Social Vulnerability: Relatively Low (Score: 37.2)</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Winter Weather</w:t>
            </w:r>
          </w:p>
        </w:tc>
        <w:tc>
          <w:tcPr>
            <w:tcW w:type="dxa" w:w="2340"/>
            <w:shd w:fill="F2F2F2" w:val="clear"/>
          </w:tcPr>
          <w:p>
            <w:r>
              <w:t>71.7</w:t>
            </w:r>
          </w:p>
        </w:tc>
        <w:tc>
          <w:tcPr>
            <w:tcW w:type="dxa" w:w="2340"/>
            <w:shd w:fill="F2F2F2" w:val="clear"/>
          </w:tcPr>
          <w:p>
            <w:r>
              <w:t>Relatively High</w:t>
            </w:r>
          </w:p>
        </w:tc>
        <w:tc>
          <w:tcPr>
            <w:tcW w:type="dxa" w:w="2340"/>
            <w:shd w:fill="F2F2F2" w:val="clear"/>
          </w:tcPr>
          <w:p>
            <w:r>
              <w:t>$349,243</w:t>
            </w:r>
          </w:p>
        </w:tc>
      </w:tr>
      <w:tr>
        <w:tc>
          <w:tcPr>
            <w:tcW w:type="dxa" w:w="2340"/>
            <w:shd w:fill="FFFFFF" w:val="clear"/>
          </w:tcPr>
          <w:p>
            <w:r>
              <w:t>Wildfire</w:t>
            </w:r>
          </w:p>
        </w:tc>
        <w:tc>
          <w:tcPr>
            <w:tcW w:type="dxa" w:w="2340"/>
            <w:shd w:fill="FFFFFF" w:val="clear"/>
          </w:tcPr>
          <w:p>
            <w:r>
              <w:t>67.2</w:t>
            </w:r>
          </w:p>
        </w:tc>
        <w:tc>
          <w:tcPr>
            <w:tcW w:type="dxa" w:w="2340"/>
            <w:shd w:fill="FFFFFF" w:val="clear"/>
          </w:tcPr>
          <w:p>
            <w:r>
              <w:t>Relatively High</w:t>
            </w:r>
          </w:p>
        </w:tc>
        <w:tc>
          <w:tcPr>
            <w:tcW w:type="dxa" w:w="2340"/>
            <w:shd w:fill="FFFFFF" w:val="clear"/>
          </w:tcPr>
          <w:p>
            <w:r>
              <w:t>$482,106</w:t>
            </w:r>
          </w:p>
        </w:tc>
      </w:tr>
      <w:tr>
        <w:tc>
          <w:tcPr>
            <w:tcW w:type="dxa" w:w="2340"/>
            <w:shd w:fill="F2F2F2" w:val="clear"/>
          </w:tcPr>
          <w:p>
            <w:r>
              <w:t>Cold Wave</w:t>
            </w:r>
          </w:p>
        </w:tc>
        <w:tc>
          <w:tcPr>
            <w:tcW w:type="dxa" w:w="2340"/>
            <w:shd w:fill="F2F2F2" w:val="clear"/>
          </w:tcPr>
          <w:p>
            <w:r>
              <w:t>64.4</w:t>
            </w:r>
          </w:p>
        </w:tc>
        <w:tc>
          <w:tcPr>
            <w:tcW w:type="dxa" w:w="2340"/>
            <w:shd w:fill="F2F2F2" w:val="clear"/>
          </w:tcPr>
          <w:p>
            <w:r>
              <w:t>Relatively High</w:t>
            </w:r>
          </w:p>
        </w:tc>
        <w:tc>
          <w:tcPr>
            <w:tcW w:type="dxa" w:w="2340"/>
            <w:shd w:fill="F2F2F2" w:val="clear"/>
          </w:tcPr>
          <w:p>
            <w:r>
              <w:t>$3,167,573</w:t>
            </w:r>
          </w:p>
        </w:tc>
      </w:tr>
      <w:tr>
        <w:tc>
          <w:tcPr>
            <w:tcW w:type="dxa" w:w="2340"/>
            <w:shd w:fill="FFFFFF" w:val="clear"/>
          </w:tcPr>
          <w:p>
            <w:r>
              <w:t>Hail</w:t>
            </w:r>
          </w:p>
        </w:tc>
        <w:tc>
          <w:tcPr>
            <w:tcW w:type="dxa" w:w="2340"/>
            <w:shd w:fill="FFFFFF" w:val="clear"/>
          </w:tcPr>
          <w:p>
            <w:r>
              <w:t>61.3</w:t>
            </w:r>
          </w:p>
        </w:tc>
        <w:tc>
          <w:tcPr>
            <w:tcW w:type="dxa" w:w="2340"/>
            <w:shd w:fill="FFFFFF" w:val="clear"/>
          </w:tcPr>
          <w:p>
            <w:r>
              <w:t>Relatively High</w:t>
            </w:r>
          </w:p>
        </w:tc>
        <w:tc>
          <w:tcPr>
            <w:tcW w:type="dxa" w:w="2340"/>
            <w:shd w:fill="FFFFFF" w:val="clear"/>
          </w:tcPr>
          <w:p>
            <w:r>
              <w:t>$826,356</w:t>
            </w:r>
          </w:p>
        </w:tc>
      </w:tr>
      <w:tr>
        <w:tc>
          <w:tcPr>
            <w:tcW w:type="dxa" w:w="2340"/>
            <w:shd w:fill="F2F2F2" w:val="clear"/>
          </w:tcPr>
          <w:p>
            <w:r>
              <w:t>Ice Storm</w:t>
            </w:r>
          </w:p>
        </w:tc>
        <w:tc>
          <w:tcPr>
            <w:tcW w:type="dxa" w:w="2340"/>
            <w:shd w:fill="F2F2F2" w:val="clear"/>
          </w:tcPr>
          <w:p>
            <w:r>
              <w:t>59.5</w:t>
            </w:r>
          </w:p>
        </w:tc>
        <w:tc>
          <w:tcPr>
            <w:tcW w:type="dxa" w:w="2340"/>
            <w:shd w:fill="F2F2F2" w:val="clear"/>
          </w:tcPr>
          <w:p>
            <w:r>
              <w:t>Relatively Moderate</w:t>
            </w:r>
          </w:p>
        </w:tc>
        <w:tc>
          <w:tcPr>
            <w:tcW w:type="dxa" w:w="2340"/>
            <w:shd w:fill="F2F2F2" w:val="clear"/>
          </w:tcPr>
          <w:p>
            <w:r>
              <w:t>$343,257</w:t>
            </w:r>
          </w:p>
        </w:tc>
      </w:tr>
    </w:tbl>
    <w:p>
      <w:pPr>
        <w:pStyle w:val="HSSection"/>
      </w:pPr>
      <w:r>
        <w:t>Hazard-to-Program Alignment</w:t>
      </w:r>
    </w:p>
    <w:p>
      <w:pPr>
        <w:pStyle w:val="HSBody"/>
      </w:pPr>
      <w:r>
        <w:t>Standing Rock Sioux Tribe of North &amp; South Dakota's top hazard exposures (Winter Weather, Wildfire, Cold Wave)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Standing Rock Sioux Tribe of North &amp; South Dakota.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Winter Weather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Winter Weather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Winter Weather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Winter Weather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Winter Weather risk profile</w:t>
      </w:r>
    </w:p>
    <w:p>
      <w:r>
        <w:br w:type="page"/>
      </w:r>
    </w:p>
    <w:p>
      <w:pPr>
        <w:pStyle w:val="Heading2"/>
      </w:pPr>
      <w:r>
        <w:t>Messaging Framework</w:t>
      </w:r>
    </w:p>
    <w:p>
      <w:pPr>
        <w:pStyle w:val="HSBody"/>
      </w:pPr>
      <w:r>
        <w:t>Audience-calibrated talking points for Standing Rock Sioux Tribe of North &amp; South Dakota's advocacy engagements during the current congressional session.</w:t>
      </w:r>
    </w:p>
    <w:p>
      <w:pPr>
        <w:pStyle w:val="HSSection"/>
      </w:pPr>
      <w:r>
        <w:t>Core Message</w:t>
      </w:r>
    </w:p>
    <w:p>
      <w:pPr>
        <w:pStyle w:val="HSBody"/>
      </w:pPr>
      <w:r>
        <w:t>Standing Rock Sioux Tribe of North &amp; South Dakota faces significant winter weather risk. Congress has funded programs that address this risk, but administrative delivery gaps and structural barriers prevent these resources from reaching Tribal communities in ND, SD.</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Standing Rock Sioux Tribe of North &amp; South Dakota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Standing Rock Sioux Tribe of North &amp; South Dakota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