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Douglas Indian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Douglas Indian Association's climate risk profile and geographic context.</w:t>
      </w:r>
    </w:p>
    <w:p>
      <w:r>
        <w:br w:type="page"/>
      </w:r>
    </w:p>
    <w:p>
      <w:pPr>
        <w:pStyle w:val="Heading2"/>
      </w:pPr>
      <w:r>
        <w:t>Executive Summary</w:t>
      </w:r>
    </w:p>
    <w:p>
      <w:pPr>
        <w:pStyle w:val="HSTitle"/>
      </w:pPr>
      <w:r>
        <w:t>Douglas Indian Association -- AK</w:t>
      </w:r>
    </w:p>
    <w:p>
      <w:pPr>
        <w:pStyle w:val="HSBody"/>
      </w:pPr>
      <w:r>
        <w:t>This strategy document outlines Douglas Indian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$1,150,401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Douglas Indian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Douglas Indian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Douglas Indian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Douglas Indian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Douglas Indian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Douglas Indian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Douglas Indian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Douglas Indian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Douglas Indian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Douglas Indian Association generated an estimated $950,400-$1,267,200 in regional economic activity (BEA RIMS II methodology, output multiplier range 1.8-2.4x), supporting approximately 4-8 jobs (BLS employment requirements methodology).</w:t>
      </w:r>
    </w:p>
    <w:p>
      <w:pPr>
        <w:pStyle w:val="HSBody"/>
      </w:pPr>
      <w:r>
        <w:t>Hazard Alignment: Douglas Indian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EPA GAP funding to Douglas Indian Association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Douglas Indian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Douglas Indian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Douglas Indian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Douglas Indian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Douglas Indian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Douglas Indian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Douglas Indian Association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Douglas Indian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Douglas Indian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Douglas Indian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Douglas Indian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Douglas Indian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Douglas Indian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Douglas Indian Association's advocacy engagements during the current congressional session.</w:t>
      </w:r>
    </w:p>
    <w:p>
      <w:pPr>
        <w:pStyle w:val="HSSection"/>
      </w:pPr>
      <w:r>
        <w:t>Core Message</w:t>
      </w:r>
    </w:p>
    <w:p>
      <w:pPr>
        <w:pStyle w:val="HSBody"/>
      </w:pPr>
      <w:r>
        <w:t>Douglas Indian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Douglas Indian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Douglas Indian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