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False Pass</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False Pass's climate risk profile and geographic context.</w:t>
      </w:r>
    </w:p>
    <w:p>
      <w:r>
        <w:br w:type="page"/>
      </w:r>
    </w:p>
    <w:p>
      <w:pPr>
        <w:pStyle w:val="Heading2"/>
      </w:pPr>
      <w:r>
        <w:t>Executive Summary</w:t>
      </w:r>
    </w:p>
    <w:p>
      <w:pPr>
        <w:pStyle w:val="HSTitle"/>
      </w:pPr>
      <w:r>
        <w:t>Native Village of False Pass -- AK</w:t>
      </w:r>
    </w:p>
    <w:p>
      <w:pPr>
        <w:pStyle w:val="HSBody"/>
      </w:pPr>
      <w:r>
        <w:t>This strategy document outlines Native Village of False Pass's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False Pass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False Pass's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False Pass's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False Pass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False Pass's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False Pass's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False Pass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False Pass's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False Pass's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False Pass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False Pass's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False Pass's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False Pass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False Pass's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False Pass's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False Pass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Native Village of False Pass's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False Pass's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False Pass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False Pass's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False Pass's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False Pass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False Pass's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False Pass's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False Pass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False Pass's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False Pass's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False Pass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False Pass's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False Pass's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False Pass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False Pass's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False Pass's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False Pass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False Pass's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False Pass's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False Pass's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False Pass.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Messaging Framework</w:t>
      </w:r>
    </w:p>
    <w:p>
      <w:pPr>
        <w:pStyle w:val="HSBody"/>
      </w:pPr>
      <w:r>
        <w:t>Audience-calibrated talking points for Native Village of False Pass's advocacy engagements during the current congressional session.</w:t>
      </w:r>
    </w:p>
    <w:p>
      <w:pPr>
        <w:pStyle w:val="HSSection"/>
      </w:pPr>
      <w:r>
        <w:t>Core Message</w:t>
      </w:r>
    </w:p>
    <w:p>
      <w:pPr>
        <w:pStyle w:val="HSBody"/>
      </w:pPr>
      <w:r>
        <w:t>Native Village of False Pass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False Pass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False Pass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