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Ketchikan Indian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Ketchikan Indian Community's climate risk profile and geographic context.</w:t>
      </w:r>
    </w:p>
    <w:p>
      <w:r>
        <w:br w:type="page"/>
      </w:r>
    </w:p>
    <w:p>
      <w:pPr>
        <w:pStyle w:val="Heading2"/>
      </w:pPr>
      <w:r>
        <w:t>Executive Summary</w:t>
      </w:r>
    </w:p>
    <w:p>
      <w:pPr>
        <w:pStyle w:val="HSTitle"/>
      </w:pPr>
      <w:r>
        <w:t>Ketchikan Indian Community -- AK</w:t>
      </w:r>
    </w:p>
    <w:p>
      <w:pPr>
        <w:pStyle w:val="HSBody"/>
      </w:pPr>
      <w:r>
        <w:t>This strategy document outlines Ketchikan Indian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$28,701,360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Ketchikan Indian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Ketchikan Indian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$29,501</w:t>
            </w:r>
          </w:p>
        </w:tc>
        <w:tc>
          <w:tcPr>
            <w:tcW w:type="dxa" w:w="2340"/>
            <w:shd w:fill="F2F2F2" w:val="clear"/>
          </w:tcPr>
          <w:p>
            <w:r>
              <w:t>2021-08-16 - 2023-08-15</w:t>
            </w:r>
          </w:p>
        </w:tc>
      </w:tr>
    </w:tbl>
    <w:p>
      <w:pPr>
        <w:pStyle w:val="HSBody"/>
      </w:pPr>
      <w:r>
        <w:rPr>
          <w:b/>
        </w:rPr>
        <w:t>Total: $29,501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Ketchikan Indian Community generated an estimated $53,101-$70,801 in regional economic activity (BEA RIMS II methodology, output multiplier range 1.8-2.4x), supporting approximately 0-0 jobs (BLS employment requirements methodology).</w:t>
      </w:r>
    </w:p>
    <w:p>
      <w:pPr>
        <w:pStyle w:val="HSBody"/>
      </w:pPr>
      <w:r>
        <w:t>Hazard Alignment: Ketchikan Indian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BIA Tribal Climate Resilience funding to Ketchikan Indian Community generated an estimated $53,101-$70,801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Ketchikan Indian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Ketchikan Indian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Ketchikan Indian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Ketchikan Indian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Ketchikan Indian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Ketchikan Indian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$517,703</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$651,703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Ketchikan Indian Community generated an estimated $1,173,065-$1,564,087 in regional economic activity (BEA RIMS II methodology, output multiplier range 1.8-2.4x), supporting approximately 5-10 jobs (BLS employment requirements methodology).</w:t>
      </w:r>
    </w:p>
    <w:p>
      <w:pPr>
        <w:pStyle w:val="HSBody"/>
      </w:pPr>
      <w:r>
        <w:t>Hazard Alignment: Ketchikan Indian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EPA GAP funding to Ketchikan Indian Community generated an estimated $1,173,065-$1,564,087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Ketchikan Indian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Ketchikan Indian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Ketchikan Indian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Ketchikan Indian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$19,803,084</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$622,132</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2025-01-21 - 2029-12-28</w:t>
            </w:r>
          </w:p>
        </w:tc>
      </w:tr>
    </w:tbl>
    <w:p>
      <w:pPr>
        <w:pStyle w:val="HSBody"/>
      </w:pPr>
      <w:r>
        <w:rPr>
          <w:b/>
        </w:rPr>
        <w:t>Total: $25,425,216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Ketchikan Indian Community generated an estimated $45,765,389-$61,020,518 in regional economic activity (BEA RIMS II methodology, output multiplier range 1.8-2.4x), supporting approximately 203-381 jobs (BLS employment requirements methodology).</w:t>
      </w:r>
    </w:p>
    <w:p>
      <w:pPr>
        <w:pStyle w:val="HSBody"/>
      </w:pPr>
      <w:r>
        <w:t>Hazard Alignment: Ketchikan Indian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HUD IHBG funding to Ketchikan Indian Community generated an estimated $45,765,389-$61,020,518 in regional economic activity (BEA RIMS II methodology, output multiplier range 1.8-2.4x), supporting approximately 203-381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Ketchikan Indian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Ketchikan Indian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Ketchikan Indian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Ketchikan Indian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Ketchikan Indian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Ketchikan Indian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Ketchikan Indian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Ketchikan Indian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Ketchikan Indian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Ketchikan Indian Community's advocacy engagements during the current congressional session.</w:t>
      </w:r>
    </w:p>
    <w:p>
      <w:pPr>
        <w:pStyle w:val="HSSection"/>
      </w:pPr>
      <w:r>
        <w:t>Core Message</w:t>
      </w:r>
    </w:p>
    <w:p>
      <w:pPr>
        <w:pStyle w:val="HSBody"/>
      </w:pPr>
      <w:r>
        <w:t>Ketchikan Indian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Ketchikan Indian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Ketchikan Indian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