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Kotzebue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Kotzebue's climate risk profile and geographic context.</w:t>
      </w:r>
    </w:p>
    <w:p>
      <w:r>
        <w:br w:type="page"/>
      </w:r>
    </w:p>
    <w:p>
      <w:pPr>
        <w:pStyle w:val="Heading2"/>
      </w:pPr>
      <w:r>
        <w:t>Executive Summary</w:t>
      </w:r>
    </w:p>
    <w:p>
      <w:pPr>
        <w:pStyle w:val="HSTitle"/>
      </w:pPr>
      <w:r>
        <w:t>Native Village of Kotzebue -- AK</w:t>
      </w:r>
    </w:p>
    <w:p>
      <w:pPr>
        <w:pStyle w:val="HSBody"/>
      </w:pPr>
      <w:r>
        <w:t>This strategy document outlines Native Village of Kotzebue's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$22,946,114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Kotzebue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Kotzebue's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Kotzebue's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Kotzebue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Kotzebue's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Kotzebue's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Kotzebue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Kotzebue's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Kotzebue's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Kotzebue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Kotzebue's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Kotzebue's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Kotzebue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Kotzebue's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Kotzebue's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$544,000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2025-10-01 - 2029-09-30</w:t>
            </w:r>
          </w:p>
        </w:tc>
      </w:tr>
    </w:tbl>
    <w:p>
      <w:pPr>
        <w:pStyle w:val="HSBody"/>
      </w:pPr>
      <w:r>
        <w:rPr>
          <w:b/>
        </w:rPr>
        <w:t>Total: $678,000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Kotzebue generated an estimated $1,220,400-$1,627,200 in regional economic activity (BEA RIMS II methodology, output multiplier range 1.8-2.4x), supporting approximately 5-10 jobs (BLS employment requirements methodology).</w:t>
      </w:r>
    </w:p>
    <w:p>
      <w:pPr>
        <w:pStyle w:val="HSBody"/>
      </w:pPr>
      <w:r>
        <w:t>Hazard Alignment: Native Village of Kotzebue's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Kotzebue's Landslide, Avalanche and Earthquake risk makes this program critical for community resilience</w:t>
      </w:r>
    </w:p>
    <w:p>
      <w:pPr>
        <w:pStyle w:val="HSCalloutDetail"/>
        <w:shd w:fill="EEF2FF" w:val="clear"/>
      </w:pPr>
      <w:r>
        <w:t>IMPACT: EPA GAP funding to Native Village of Kotzebue generated an estimated $1,220,400-$1,627,200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Kotzebue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Kotzebue's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Kotzebue's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Kotzebue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Kotzebue's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Kotzebue's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$20,893,218</w:t>
            </w:r>
          </w:p>
        </w:tc>
        <w:tc>
          <w:tcPr>
            <w:tcW w:type="dxa" w:w="2340"/>
            <w:shd w:fill="F2F2F2" w:val="clear"/>
          </w:tcPr>
          <w:p>
            <w:r>
              <w:t>2012-01-06 - 2034-09-30</w:t>
            </w:r>
          </w:p>
        </w:tc>
      </w:tr>
    </w:tbl>
    <w:p>
      <w:pPr>
        <w:pStyle w:val="HSBody"/>
      </w:pPr>
      <w:r>
        <w:rPr>
          <w:b/>
        </w:rPr>
        <w:t>Total: $20,893,218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Native Village of Kotzebue generated an estimated $37,607,792-$50,143,723 in regional economic activity (BEA RIMS II methodology, output multiplier range 1.8-2.4x), supporting approximately 167-313 jobs (BLS employment requirements methodology).</w:t>
      </w:r>
    </w:p>
    <w:p>
      <w:pPr>
        <w:pStyle w:val="HSBody"/>
      </w:pPr>
      <w:r>
        <w:t>Hazard Alignment: Native Village of Kotzebue's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Kotzebue's Landslide, Avalanche and Earthquake risk makes this program critical for community resilience</w:t>
      </w:r>
    </w:p>
    <w:p>
      <w:pPr>
        <w:pStyle w:val="HSCalloutDetail"/>
        <w:shd w:fill="EEF2FF" w:val="clear"/>
      </w:pPr>
      <w:r>
        <w:t>IMPACT: HUD IHBG funding to Native Village of Kotzebue generated an estimated $37,607,792-$50,143,723 in regional economic activity (BEA RIMS II methodology, output multiplier range 1.8-2.4x), supporting approximately 167-313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Kotzebue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Kotzebue's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Kotzebue's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Kotzebue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Kotzebue's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Kotzebue's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Kotzebue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Kotzebue's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Kotzebue's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Kotzebue's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Kotzebue.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Kotzebue's advocacy engagements during the current congressional session.</w:t>
      </w:r>
    </w:p>
    <w:p>
      <w:pPr>
        <w:pStyle w:val="HSSection"/>
      </w:pPr>
      <w:r>
        <w:t>Core Message</w:t>
      </w:r>
    </w:p>
    <w:p>
      <w:pPr>
        <w:pStyle w:val="HSBody"/>
      </w:pPr>
      <w:r>
        <w:t>Native Village of Kotzebue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Kotzebue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Kotzebue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