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Manley Hot Springs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Manley Hot Springs Village's climate risk profile and geographic context.</w:t>
      </w:r>
    </w:p>
    <w:p>
      <w:r>
        <w:br w:type="page"/>
      </w:r>
    </w:p>
    <w:p>
      <w:pPr>
        <w:pStyle w:val="Heading2"/>
      </w:pPr>
      <w:r>
        <w:t>Executive Summary</w:t>
      </w:r>
    </w:p>
    <w:p>
      <w:pPr>
        <w:pStyle w:val="HSTitle"/>
      </w:pPr>
      <w:r>
        <w:t>Manley Hot Springs Village -- AK</w:t>
      </w:r>
    </w:p>
    <w:p>
      <w:pPr>
        <w:pStyle w:val="HSBody"/>
      </w:pPr>
      <w:r>
        <w:t>This strategy document outlines Manley Hot Springs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$3,810,624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Manley Hot Springs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Manley Hot Springs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Manley Hot Springs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Manley Hot Springs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Manley Hot Springs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Manley Hot Springs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Manley Hot Springs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Manley Hot Springs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Manley Hot Springs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2025-10-01 - 2026-09-30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Manley Hot Springs Village generated an estimated $241,200-$321,600 in regional economic activity (BEA RIMS II methodology, output multiplier range 1.8-2.4x), supporting approximately 1-2 jobs (BLS employment requirements methodology).</w:t>
      </w:r>
    </w:p>
    <w:p>
      <w:pPr>
        <w:pStyle w:val="HSBody"/>
      </w:pPr>
      <w:r>
        <w:t>Hazard Alignment: Manley Hot Springs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EPA GAP funding to Manley Hot Springs Village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Manley Hot Springs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Manley Hot Springs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Manley Hot Springs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Manley Hot Springs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Manley Hot Springs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Manley Hot Springs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Manley Hot Springs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Manley Hot Springs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Manley Hot Springs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Manley Hot Springs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Manley Hot Springs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Manley Hot Springs Village's advocacy engagements during the current congressional session.</w:t>
      </w:r>
    </w:p>
    <w:p>
      <w:pPr>
        <w:pStyle w:val="HSSection"/>
      </w:pPr>
      <w:r>
        <w:t>Core Message</w:t>
      </w:r>
    </w:p>
    <w:p>
      <w:pPr>
        <w:pStyle w:val="HSBody"/>
      </w:pPr>
      <w:r>
        <w:t>Manley Hot Springs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Manley Hot Springs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Manley Hot Springs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