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Point Lay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Point Lay's climate risk profile and geographic context.</w:t>
      </w:r>
    </w:p>
    <w:p>
      <w:r>
        <w:br w:type="page"/>
      </w:r>
    </w:p>
    <w:p>
      <w:pPr>
        <w:pStyle w:val="Heading2"/>
      </w:pPr>
      <w:r>
        <w:t>Executive Summary</w:t>
      </w:r>
    </w:p>
    <w:p>
      <w:pPr>
        <w:pStyle w:val="HSTitle"/>
      </w:pPr>
      <w:r>
        <w:t>Native Village of Point Lay -- AK</w:t>
      </w:r>
    </w:p>
    <w:p>
      <w:pPr>
        <w:pStyle w:val="HSBody"/>
      </w:pPr>
      <w:r>
        <w:t>This strategy document outlines Native Village of Point Lay's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$250,000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Lay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Point Lay's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2024-08-01 - 2026-12-31</w:t>
            </w:r>
          </w:p>
        </w:tc>
      </w:tr>
    </w:tbl>
    <w:p>
      <w:pPr>
        <w:pStyle w:val="HSBody"/>
      </w:pPr>
      <w:r>
        <w:rPr>
          <w:b/>
        </w:rPr>
        <w:t>Total: $250,000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Point Lay generated an estimated $450,000-$600,000 in regional economic activity (BEA RIMS II methodology, output multiplier range 1.8-2.4x), supporting approximately 2-4 jobs (BLS employment requirements methodology).</w:t>
      </w:r>
    </w:p>
    <w:p>
      <w:pPr>
        <w:pStyle w:val="HSBody"/>
      </w:pPr>
      <w:r>
        <w:t>Hazard Alignment: Native Village of Point Lay's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BIA Tribal Climate Resilience funding to Native Village of Point Lay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Point Lay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Point Lay's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Point Lay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Point Lay's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Point Lay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Point Lay's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Point Lay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Point Lay's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Point Lay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Point Lay's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Point Lay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Point Lay's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Point Lay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Point Lay's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Point Lay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Point Lay's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Point Lay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Point Lay's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Point Lay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Point Lay's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Point Lay's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Point Lay's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Point Lay.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Point Lay's advocacy engagements during the current congressional session.</w:t>
      </w:r>
    </w:p>
    <w:p>
      <w:pPr>
        <w:pStyle w:val="HSSection"/>
      </w:pPr>
      <w:r>
        <w:t>Core Message</w:t>
      </w:r>
    </w:p>
    <w:p>
      <w:pPr>
        <w:pStyle w:val="HSBody"/>
      </w:pPr>
      <w:r>
        <w:t>Native Village of Point Lay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Point Lay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Point Lay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