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Tanacross</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Tanacross's climate risk profile and geographic context.</w:t>
      </w:r>
    </w:p>
    <w:p>
      <w:r>
        <w:br w:type="page"/>
      </w:r>
    </w:p>
    <w:p>
      <w:pPr>
        <w:pStyle w:val="Heading2"/>
      </w:pPr>
      <w:r>
        <w:t>Executive Summary</w:t>
      </w:r>
    </w:p>
    <w:p>
      <w:pPr>
        <w:pStyle w:val="HSTitle"/>
      </w:pPr>
      <w:r>
        <w:t>Native Village of Tanacross -- AK</w:t>
      </w:r>
    </w:p>
    <w:p>
      <w:pPr>
        <w:pStyle w:val="HSBody"/>
      </w:pPr>
      <w:r>
        <w:t>This strategy document outlines Native Village of Tanacross's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$703,812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Tanacross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Tanacross's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Tanacross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Tanacross's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Tanacross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Tanacross's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Tanacross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Tanacross's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Tanacross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Tanacross's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$553,000</w:t>
            </w:r>
          </w:p>
        </w:tc>
        <w:tc>
          <w:tcPr>
            <w:tcW w:type="dxa" w:w="2340"/>
            <w:shd w:fill="F2F2F2" w:val="clear"/>
          </w:tcPr>
          <w:p>
            <w:r>
              <w:t>2022-10-01 - 2026-09-30</w:t>
            </w:r>
          </w:p>
        </w:tc>
      </w:tr>
    </w:tbl>
    <w:p>
      <w:pPr>
        <w:pStyle w:val="HSBody"/>
      </w:pPr>
      <w:r>
        <w:rPr>
          <w:b/>
        </w:rPr>
        <w:t>Total: $553,000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Tanacross generated an estimated $995,400-$1,327,200 in regional economic activity (BEA RIMS II methodology, output multiplier range 1.8-2.4x), supporting approximately 4-8 jobs (BLS employment requirements methodology).</w:t>
      </w:r>
    </w:p>
    <w:p>
      <w:pPr>
        <w:pStyle w:val="HSBody"/>
      </w:pPr>
      <w:r>
        <w:t>Hazard Alignment: Native Village of Tanacross's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EPA GAP funding to Native Village of Tanacross generated an estimated $995,400-$1,327,200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Tanacross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Tanacross's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Tanacross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Tanacross's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Tanacross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Tanacross's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Tanacross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Tanacross's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Tanacross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Tanacross's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Tanacross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Tanacross's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Tanacross's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Tanacross's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Tanacross.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Tanacross's advocacy engagements during the current congressional session.</w:t>
      </w:r>
    </w:p>
    <w:p>
      <w:pPr>
        <w:pStyle w:val="HSSection"/>
      </w:pPr>
      <w:r>
        <w:t>Core Message</w:t>
      </w:r>
    </w:p>
    <w:p>
      <w:pPr>
        <w:pStyle w:val="HSBody"/>
      </w:pPr>
      <w:r>
        <w:t>Native Village of Tanacross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Tanacross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Tanacross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