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Rappahannock Tribe, Inc.</w:t>
      </w:r>
    </w:p>
    <w:p>
      <w:pPr>
        <w:pStyle w:val="HSBody"/>
      </w:pPr>
      <w:r>
        <w:t>Prepared for the offices of: 2 Senators, 1 Representative</w:t>
      </w:r>
    </w:p>
    <w:p>
      <w:pPr>
        <w:pStyle w:val="HSBody"/>
      </w:pPr>
      <w:r>
        <w:t>State(s): VA</w:t>
      </w:r>
    </w:p>
    <w:p>
      <w:pPr>
        <w:pStyle w:val="HSBody"/>
      </w:pPr>
      <w:r>
        <w:t>Ecoregion(s): southeast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DOE Indian Energy</w:t>
      </w:r>
      <w:r>
        <w:t xml:space="preserve">  </w:t>
      </w:r>
      <w:r>
        <w:rPr>
          <w:color w:val="4B5563"/>
          <w:sz w:val="16"/>
        </w:rPr>
        <w:t>[Uncertain]</w:t>
      </w:r>
    </w:p>
    <w:p>
      <w:pPr>
        <w:pStyle w:val="HSBody"/>
      </w:pPr>
      <w:r>
        <w:t>This packet contains 12 program analyses tailored to Rappahannock Tribe, Inc.'s climate risk profile and geographic context.</w:t>
      </w:r>
    </w:p>
    <w:p>
      <w:r>
        <w:br w:type="page"/>
      </w:r>
    </w:p>
    <w:p>
      <w:pPr>
        <w:pStyle w:val="Heading2"/>
      </w:pPr>
      <w:r>
        <w:t>Executive Summary</w:t>
      </w:r>
    </w:p>
    <w:p>
      <w:pPr>
        <w:pStyle w:val="HSTitle"/>
      </w:pPr>
      <w:r>
        <w:t>Rappahannock Tribe, Inc. -- VA</w:t>
      </w:r>
    </w:p>
    <w:p>
      <w:pPr>
        <w:pStyle w:val="HSBody"/>
      </w:pPr>
      <w:r>
        <w:t>This strategy document outlines Rappahannock Tribe, Inc.'s federal climate resilience funding landscape, identifies strategic leverage points across key programs, and recommends sequenced advocacy actions for the current congressional session.</w:t>
      </w:r>
    </w:p>
    <w:p>
      <w:pPr>
        <w:pStyle w:val="HSBody"/>
      </w:pPr>
      <w:r>
        <w:t>Top Climate Hazards: Hurricane, Earthquake, Drought</w:t>
      </w:r>
    </w:p>
    <w:p>
      <w:pPr>
        <w:pStyle w:val="HSBody"/>
      </w:pPr>
      <w:r>
        <w:t>Total Federal Climate Resilience Funding: $1,715,981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R. Warner (D-VA)</w:t>
            </w:r>
          </w:p>
        </w:tc>
        <w:tc>
          <w:tcPr>
            <w:tcW w:type="dxa" w:w="1872"/>
            <w:shd w:fill="F2F2F2" w:val="clear"/>
          </w:tcPr>
          <w:p>
            <w:r>
              <w:t>Senator</w:t>
            </w:r>
          </w:p>
        </w:tc>
        <w:tc>
          <w:tcPr>
            <w:tcW w:type="dxa" w:w="1872"/>
            <w:shd w:fill="F2F2F2" w:val="clear"/>
          </w:tcPr>
          <w:p>
            <w:r>
              <w:t>VA</w:t>
            </w:r>
          </w:p>
        </w:tc>
        <w:tc>
          <w:tcPr>
            <w:tcW w:type="dxa" w:w="1872"/>
            <w:shd w:fill="F2F2F2" w:val="clear"/>
          </w:tcPr>
          <w:p>
            <w:r>
              <w:t>At-Large</w:t>
            </w:r>
          </w:p>
        </w:tc>
        <w:tc>
          <w:tcPr>
            <w:tcW w:type="dxa" w:w="1872"/>
            <w:shd w:fill="F2F2F2" w:val="clear"/>
          </w:tcPr>
          <w:p>
            <w:r/>
          </w:p>
        </w:tc>
      </w:tr>
      <w:tr>
        <w:tc>
          <w:tcPr>
            <w:tcW w:type="dxa" w:w="1872"/>
            <w:shd w:fill="FFFFFF" w:val="clear"/>
          </w:tcPr>
          <w:p>
            <w:r>
              <w:t>Sen. Tim Kaine (D-VA)</w:t>
            </w:r>
          </w:p>
        </w:tc>
        <w:tc>
          <w:tcPr>
            <w:tcW w:type="dxa" w:w="1872"/>
            <w:shd w:fill="FFFFFF" w:val="clear"/>
          </w:tcPr>
          <w:p>
            <w:r>
              <w:t>Senator</w:t>
            </w:r>
          </w:p>
        </w:tc>
        <w:tc>
          <w:tcPr>
            <w:tcW w:type="dxa" w:w="1872"/>
            <w:shd w:fill="FFFFFF" w:val="clear"/>
          </w:tcPr>
          <w:p>
            <w:r>
              <w:t>VA</w:t>
            </w:r>
          </w:p>
        </w:tc>
        <w:tc>
          <w:tcPr>
            <w:tcW w:type="dxa" w:w="1872"/>
            <w:shd w:fill="FFFFFF" w:val="clear"/>
          </w:tcPr>
          <w:p>
            <w:r>
              <w:t>At-Large</w:t>
            </w:r>
          </w:p>
        </w:tc>
        <w:tc>
          <w:tcPr>
            <w:tcW w:type="dxa" w:w="1872"/>
            <w:shd w:fill="FFFFFF" w:val="clear"/>
          </w:tcPr>
          <w:p>
            <w:r/>
          </w:p>
        </w:tc>
      </w:tr>
      <w:tr>
        <w:tc>
          <w:tcPr>
            <w:tcW w:type="dxa" w:w="1872"/>
            <w:shd w:fill="F2F2F2" w:val="clear"/>
          </w:tcPr>
          <w:p>
            <w:r>
              <w:t>Rep. Robert J. Wittman (R-VA-01)</w:t>
            </w:r>
          </w:p>
        </w:tc>
        <w:tc>
          <w:tcPr>
            <w:tcW w:type="dxa" w:w="1872"/>
            <w:shd w:fill="F2F2F2" w:val="clear"/>
          </w:tcPr>
          <w:p>
            <w:r>
              <w:t>Representative</w:t>
            </w:r>
          </w:p>
        </w:tc>
        <w:tc>
          <w:tcPr>
            <w:tcW w:type="dxa" w:w="1872"/>
            <w:shd w:fill="F2F2F2" w:val="clear"/>
          </w:tcPr>
          <w:p>
            <w:r>
              <w:t>VA</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1 members with relevant committee assignments</w:t>
      </w:r>
    </w:p>
    <w:p>
      <w:pPr>
        <w:pStyle w:val="HSSection"/>
      </w:pPr>
      <w:r>
        <w:t>Strategic Notes</w:t>
      </w:r>
    </w:p>
    <w:p>
      <w:pPr>
        <w:pStyle w:val="HSBody"/>
      </w:pPr>
      <w:r>
        <w:t>Rep. Robert J. Wittman (R-VA-01):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Rappahannock Tribe, Inc.'s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$221,387</w:t>
            </w:r>
          </w:p>
        </w:tc>
        <w:tc>
          <w:tcPr>
            <w:tcW w:type="dxa" w:w="2340"/>
            <w:shd w:fill="F2F2F2" w:val="clear"/>
          </w:tcPr>
          <w:p>
            <w:r>
              <w:t>2024-01-01 - 2027-12-31</w:t>
            </w:r>
          </w:p>
        </w:tc>
      </w:tr>
    </w:tbl>
    <w:p>
      <w:pPr>
        <w:pStyle w:val="HSBody"/>
      </w:pPr>
      <w:r>
        <w:rPr>
          <w:b/>
        </w:rPr>
        <w:t>Total: $221,387</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BIA Tribal Climate Resilience funding to Rappahannock Tribe, Inc. generated an estimated $398,497-$531,329 in regional economic activity (BEA RIMS II methodology, output multiplier range 1.8-2.4x), supporting approximately 2-3 jobs (BLS employment requirements methodology).</w:t>
      </w:r>
    </w:p>
    <w:p>
      <w:pPr>
        <w:pStyle w:val="HSBody"/>
      </w:pPr>
      <w:r>
        <w:t>Hazard Alignment: Rappahannock Tribe, Inc.'s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BIA Tribal Climate Resilience funding to Rappahannock Tribe, Inc. generated an estimated $398,497-$531,329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Rappahannock Tribe, Inc.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Rappahannock Tribe, Inc.'s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Rappahannock Tribe, Inc.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$738,591</w:t>
            </w:r>
          </w:p>
        </w:tc>
        <w:tc>
          <w:tcPr>
            <w:tcW w:type="dxa" w:w="2340"/>
            <w:shd w:fill="F2F2F2" w:val="clear"/>
          </w:tcPr>
          <w:p>
            <w:r>
              <w:t>2018-09-10 - 2034-09-30</w:t>
            </w:r>
          </w:p>
        </w:tc>
      </w:tr>
    </w:tbl>
    <w:p>
      <w:pPr>
        <w:pStyle w:val="HSBody"/>
      </w:pPr>
      <w:r>
        <w:rPr>
          <w:b/>
        </w:rPr>
        <w:t>Total: $738,591</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HUD IHBG funding to Rappahannock Tribe, Inc. generated an estimated $1,329,464-$1,772,618 in regional economic activity (BEA RIMS II methodology, output multiplier range 1.8-2.4x), supporting approximately 6-11 jobs (BLS employment requirements methodology).</w:t>
      </w:r>
    </w:p>
    <w:p>
      <w:pPr>
        <w:pStyle w:val="HSBody"/>
      </w:pPr>
      <w:r>
        <w:t>Hazard Alignment: Rappahannock Tribe, Inc.'s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HUD IHBG funding to Rappahannock Tribe, Inc. generated an estimated $1,329,464-$1,772,618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$404,314</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$235,850</w:t>
            </w:r>
          </w:p>
        </w:tc>
        <w:tc>
          <w:tcPr>
            <w:tcW w:type="dxa" w:w="2340"/>
            <w:shd w:fill="FFFFFF" w:val="clear"/>
          </w:tcPr>
          <w:p>
            <w:r>
              <w:t>2024-10-01 - 2028-09-30</w:t>
            </w:r>
          </w:p>
        </w:tc>
      </w:tr>
    </w:tbl>
    <w:p>
      <w:pPr>
        <w:pStyle w:val="HSBody"/>
      </w:pPr>
      <w:r>
        <w:rPr>
          <w:b/>
        </w:rPr>
        <w:t>Total: $640,164</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EPA GAP funding to Rappahannock Tribe, Inc. generated an estimated $1,152,295-$1,536,394 in regional economic activity (BEA RIMS II methodology, output multiplier range 1.8-2.4x), supporting approximately 5-10 jobs (BLS employment requirements methodology).</w:t>
      </w:r>
    </w:p>
    <w:p>
      <w:pPr>
        <w:pStyle w:val="HSBody"/>
      </w:pPr>
      <w:r>
        <w:t>Hazard Alignment: Rappahannock Tribe, Inc.'s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EPA GAP funding to Rappahannock Tribe, Inc. generated an estimated $1,152,295-$1,536,394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Rappahannock Tribe, Inc.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Rappahannock Tribe, Inc.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Rappahannock Tribe, Inc.'s hurricane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Rappahannock Tribe, Inc.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Rappahannock Tribe, Inc.'s hurricane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Rappahannock Tribe, Inc.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Rappahannock Tribe, Inc.'s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Rappahannock Tribe, Inc.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Rappahannock Tribe, Inc.'s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Rappahannock Tribe, Inc.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Rappahannock Tribe, Inc.'s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Rappahannock Tribe, Inc.'s Hurricane, Earthquake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47.9)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68.2</w:t>
            </w:r>
          </w:p>
        </w:tc>
        <w:tc>
          <w:tcPr>
            <w:tcW w:type="dxa" w:w="2340"/>
            <w:shd w:fill="F2F2F2" w:val="clear"/>
          </w:tcPr>
          <w:p>
            <w:r>
              <w:t>Relatively High</w:t>
            </w:r>
          </w:p>
        </w:tc>
        <w:tc>
          <w:tcPr>
            <w:tcW w:type="dxa" w:w="2340"/>
            <w:shd w:fill="F2F2F2" w:val="clear"/>
          </w:tcPr>
          <w:p>
            <w:r>
              <w:t>$1,596,242</w:t>
            </w:r>
          </w:p>
        </w:tc>
      </w:tr>
      <w:tr>
        <w:tc>
          <w:tcPr>
            <w:tcW w:type="dxa" w:w="2340"/>
            <w:shd w:fill="FFFFFF" w:val="clear"/>
          </w:tcPr>
          <w:p>
            <w:r>
              <w:t>Earthquake</w:t>
            </w:r>
          </w:p>
        </w:tc>
        <w:tc>
          <w:tcPr>
            <w:tcW w:type="dxa" w:w="2340"/>
            <w:shd w:fill="FFFFFF" w:val="clear"/>
          </w:tcPr>
          <w:p>
            <w:r>
              <w:t>53.5</w:t>
            </w:r>
          </w:p>
        </w:tc>
        <w:tc>
          <w:tcPr>
            <w:tcW w:type="dxa" w:w="2340"/>
            <w:shd w:fill="FFFFFF" w:val="clear"/>
          </w:tcPr>
          <w:p>
            <w:r>
              <w:t>Relatively Moderate</w:t>
            </w:r>
          </w:p>
        </w:tc>
        <w:tc>
          <w:tcPr>
            <w:tcW w:type="dxa" w:w="2340"/>
            <w:shd w:fill="FFFFFF" w:val="clear"/>
          </w:tcPr>
          <w:p>
            <w:r>
              <w:t>$748,648</w:t>
            </w:r>
          </w:p>
        </w:tc>
      </w:tr>
      <w:tr>
        <w:tc>
          <w:tcPr>
            <w:tcW w:type="dxa" w:w="2340"/>
            <w:shd w:fill="F2F2F2" w:val="clear"/>
          </w:tcPr>
          <w:p>
            <w:r>
              <w:t>Drought</w:t>
            </w:r>
          </w:p>
        </w:tc>
        <w:tc>
          <w:tcPr>
            <w:tcW w:type="dxa" w:w="2340"/>
            <w:shd w:fill="F2F2F2" w:val="clear"/>
          </w:tcPr>
          <w:p>
            <w:r>
              <w:t>48.6</w:t>
            </w:r>
          </w:p>
        </w:tc>
        <w:tc>
          <w:tcPr>
            <w:tcW w:type="dxa" w:w="2340"/>
            <w:shd w:fill="F2F2F2" w:val="clear"/>
          </w:tcPr>
          <w:p>
            <w:r>
              <w:t>Relatively Moderate</w:t>
            </w:r>
          </w:p>
        </w:tc>
        <w:tc>
          <w:tcPr>
            <w:tcW w:type="dxa" w:w="2340"/>
            <w:shd w:fill="F2F2F2" w:val="clear"/>
          </w:tcPr>
          <w:p>
            <w:r>
              <w:t>$574,431</w:t>
            </w:r>
          </w:p>
        </w:tc>
      </w:tr>
      <w:tr>
        <w:tc>
          <w:tcPr>
            <w:tcW w:type="dxa" w:w="2340"/>
            <w:shd w:fill="FFFFFF" w:val="clear"/>
          </w:tcPr>
          <w:p>
            <w:r>
              <w:t>Landslide</w:t>
            </w:r>
          </w:p>
        </w:tc>
        <w:tc>
          <w:tcPr>
            <w:tcW w:type="dxa" w:w="2340"/>
            <w:shd w:fill="FFFFFF" w:val="clear"/>
          </w:tcPr>
          <w:p>
            <w:r>
              <w:t>45.7</w:t>
            </w:r>
          </w:p>
        </w:tc>
        <w:tc>
          <w:tcPr>
            <w:tcW w:type="dxa" w:w="2340"/>
            <w:shd w:fill="FFFFFF" w:val="clear"/>
          </w:tcPr>
          <w:p>
            <w:r>
              <w:t>Relatively Moderate</w:t>
            </w:r>
          </w:p>
        </w:tc>
        <w:tc>
          <w:tcPr>
            <w:tcW w:type="dxa" w:w="2340"/>
            <w:shd w:fill="FFFFFF" w:val="clear"/>
          </w:tcPr>
          <w:p>
            <w:r>
              <w:t>$12,033</w:t>
            </w:r>
          </w:p>
        </w:tc>
      </w:tr>
      <w:tr>
        <w:tc>
          <w:tcPr>
            <w:tcW w:type="dxa" w:w="2340"/>
            <w:shd w:fill="F2F2F2" w:val="clear"/>
          </w:tcPr>
          <w:p>
            <w:r>
              <w:t>Strong Wind</w:t>
            </w:r>
          </w:p>
        </w:tc>
        <w:tc>
          <w:tcPr>
            <w:tcW w:type="dxa" w:w="2340"/>
            <w:shd w:fill="F2F2F2" w:val="clear"/>
          </w:tcPr>
          <w:p>
            <w:r>
              <w:t>42.6</w:t>
            </w:r>
          </w:p>
        </w:tc>
        <w:tc>
          <w:tcPr>
            <w:tcW w:type="dxa" w:w="2340"/>
            <w:shd w:fill="F2F2F2" w:val="clear"/>
          </w:tcPr>
          <w:p>
            <w:r>
              <w:t>Relatively Moderate</w:t>
            </w:r>
          </w:p>
        </w:tc>
        <w:tc>
          <w:tcPr>
            <w:tcW w:type="dxa" w:w="2340"/>
            <w:shd w:fill="F2F2F2" w:val="clear"/>
          </w:tcPr>
          <w:p>
            <w:r>
              <w:t>$593,886</w:t>
            </w:r>
          </w:p>
        </w:tc>
      </w:tr>
    </w:tbl>
    <w:p>
      <w:pPr>
        <w:pStyle w:val="HSSection"/>
      </w:pPr>
      <w:r>
        <w:t>Hazard-to-Program Alignment</w:t>
      </w:r>
    </w:p>
    <w:p>
      <w:pPr>
        <w:pStyle w:val="HSBody"/>
      </w:pPr>
      <w:r>
        <w:t>Rappahannock Tribe, Inc.'s top hazard exposures (Hurricane, Earthquake,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Rappahannock Tribe, Inc..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Rappahannock Tribe, Inc.'s advocacy engagements during the current congressional session.</w:t>
      </w:r>
    </w:p>
    <w:p>
      <w:pPr>
        <w:pStyle w:val="HSSection"/>
      </w:pPr>
      <w:r>
        <w:t>Core Message</w:t>
      </w:r>
    </w:p>
    <w:p>
      <w:pPr>
        <w:pStyle w:val="HSBody"/>
      </w:pPr>
      <w:r>
        <w:t>Rappahannock Tribe, Inc. faces significant hurricane risk. Congress has funded programs that address this risk, but administrative delivery gaps and structural barriers prevent these resources from reaching Tribal communities in VA.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Rappahannock Tribe, Inc.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Rappahannock Tribe, Inc.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