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4246A" w14:textId="1D24E77C" w:rsidR="000440CD" w:rsidRDefault="00543EBB" w:rsidP="00543EB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Supplemental Materials</w:t>
      </w:r>
    </w:p>
    <w:p w14:paraId="63F0E9BB" w14:textId="77777777" w:rsidR="00543EBB" w:rsidRDefault="00543EBB" w:rsidP="00543EB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 S1.</w:t>
      </w:r>
    </w:p>
    <w:tbl>
      <w:tblPr>
        <w:tblStyle w:val="TableGrid"/>
        <w:tblpPr w:leftFromText="180" w:rightFromText="180" w:vertAnchor="page" w:horzAnchor="margin" w:tblpY="3014"/>
        <w:tblW w:w="13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7"/>
        <w:gridCol w:w="3317"/>
        <w:gridCol w:w="3317"/>
        <w:gridCol w:w="3317"/>
      </w:tblGrid>
      <w:tr w:rsidR="00543EBB" w:rsidRPr="00AB0796" w14:paraId="49421D94" w14:textId="77777777" w:rsidTr="00543EBB">
        <w:trPr>
          <w:trHeight w:val="350"/>
        </w:trPr>
        <w:tc>
          <w:tcPr>
            <w:tcW w:w="3317" w:type="dxa"/>
            <w:tcBorders>
              <w:top w:val="single" w:sz="4" w:space="0" w:color="auto"/>
              <w:bottom w:val="single" w:sz="4" w:space="0" w:color="auto"/>
            </w:tcBorders>
          </w:tcPr>
          <w:p w14:paraId="491779E3" w14:textId="77777777" w:rsidR="00543EBB" w:rsidRPr="00AB0796" w:rsidRDefault="00543EBB" w:rsidP="00543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Measure</w:t>
            </w:r>
          </w:p>
        </w:tc>
        <w:tc>
          <w:tcPr>
            <w:tcW w:w="3317" w:type="dxa"/>
            <w:tcBorders>
              <w:top w:val="single" w:sz="4" w:space="0" w:color="auto"/>
              <w:bottom w:val="single" w:sz="4" w:space="0" w:color="auto"/>
            </w:tcBorders>
          </w:tcPr>
          <w:p w14:paraId="24ABC2BD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3317" w:type="dxa"/>
            <w:tcBorders>
              <w:top w:val="single" w:sz="4" w:space="0" w:color="auto"/>
              <w:bottom w:val="single" w:sz="4" w:space="0" w:color="auto"/>
            </w:tcBorders>
          </w:tcPr>
          <w:p w14:paraId="6C5A8993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CFI</w:t>
            </w:r>
          </w:p>
        </w:tc>
        <w:tc>
          <w:tcPr>
            <w:tcW w:w="3317" w:type="dxa"/>
            <w:tcBorders>
              <w:top w:val="single" w:sz="4" w:space="0" w:color="auto"/>
              <w:bottom w:val="single" w:sz="4" w:space="0" w:color="auto"/>
            </w:tcBorders>
          </w:tcPr>
          <w:p w14:paraId="685CC017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RMSEA</w:t>
            </w:r>
          </w:p>
        </w:tc>
      </w:tr>
      <w:tr w:rsidR="00543EBB" w:rsidRPr="00AB0796" w14:paraId="491E9996" w14:textId="77777777" w:rsidTr="00543EBB">
        <w:trPr>
          <w:trHeight w:val="552"/>
        </w:trPr>
        <w:tc>
          <w:tcPr>
            <w:tcW w:w="3317" w:type="dxa"/>
            <w:tcBorders>
              <w:top w:val="single" w:sz="4" w:space="0" w:color="auto"/>
            </w:tcBorders>
            <w:vAlign w:val="center"/>
          </w:tcPr>
          <w:p w14:paraId="08758DD6" w14:textId="77777777" w:rsidR="00543EBB" w:rsidRPr="00AB0796" w:rsidRDefault="00543EBB" w:rsidP="00543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Life Satisfaction</w:t>
            </w:r>
          </w:p>
        </w:tc>
        <w:tc>
          <w:tcPr>
            <w:tcW w:w="3317" w:type="dxa"/>
            <w:tcBorders>
              <w:top w:val="single" w:sz="4" w:space="0" w:color="auto"/>
            </w:tcBorders>
            <w:vAlign w:val="center"/>
          </w:tcPr>
          <w:p w14:paraId="20CF00C5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17" w:type="dxa"/>
            <w:tcBorders>
              <w:top w:val="single" w:sz="4" w:space="0" w:color="auto"/>
            </w:tcBorders>
            <w:vAlign w:val="center"/>
          </w:tcPr>
          <w:p w14:paraId="405D379E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.991</w:t>
            </w:r>
          </w:p>
        </w:tc>
        <w:tc>
          <w:tcPr>
            <w:tcW w:w="3317" w:type="dxa"/>
            <w:tcBorders>
              <w:top w:val="single" w:sz="4" w:space="0" w:color="auto"/>
            </w:tcBorders>
            <w:vAlign w:val="center"/>
          </w:tcPr>
          <w:p w14:paraId="532B8F20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.079</w:t>
            </w:r>
          </w:p>
        </w:tc>
      </w:tr>
      <w:tr w:rsidR="00543EBB" w:rsidRPr="00AB0796" w14:paraId="1C866AC6" w14:textId="77777777" w:rsidTr="00543EBB">
        <w:trPr>
          <w:trHeight w:val="552"/>
        </w:trPr>
        <w:tc>
          <w:tcPr>
            <w:tcW w:w="3317" w:type="dxa"/>
            <w:vAlign w:val="center"/>
          </w:tcPr>
          <w:p w14:paraId="35F6FCF7" w14:textId="77777777" w:rsidR="00543EBB" w:rsidRPr="00AB0796" w:rsidRDefault="00543EBB" w:rsidP="00543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Stress</w:t>
            </w:r>
          </w:p>
        </w:tc>
        <w:tc>
          <w:tcPr>
            <w:tcW w:w="3317" w:type="dxa"/>
            <w:vAlign w:val="center"/>
          </w:tcPr>
          <w:p w14:paraId="5F5351AA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3317" w:type="dxa"/>
            <w:vAlign w:val="center"/>
          </w:tcPr>
          <w:p w14:paraId="1A70E0F8" w14:textId="77777777" w:rsidR="00543EBB" w:rsidRPr="005A54D2" w:rsidRDefault="00543EBB" w:rsidP="00543EBB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.566</w:t>
            </w:r>
          </w:p>
        </w:tc>
        <w:tc>
          <w:tcPr>
            <w:tcW w:w="3317" w:type="dxa"/>
            <w:vAlign w:val="center"/>
          </w:tcPr>
          <w:p w14:paraId="77734762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 w:rsidRPr="00543EBB">
              <w:rPr>
                <w:rFonts w:ascii="Times New Roman" w:hAnsi="Times New Roman" w:cs="Times New Roman"/>
                <w:highlight w:val="yellow"/>
              </w:rPr>
              <w:t>.103</w:t>
            </w:r>
          </w:p>
        </w:tc>
      </w:tr>
      <w:tr w:rsidR="00543EBB" w:rsidRPr="00AB0796" w14:paraId="4F36B6FA" w14:textId="77777777" w:rsidTr="00543EBB">
        <w:trPr>
          <w:trHeight w:val="552"/>
        </w:trPr>
        <w:tc>
          <w:tcPr>
            <w:tcW w:w="3317" w:type="dxa"/>
            <w:vAlign w:val="center"/>
          </w:tcPr>
          <w:p w14:paraId="6BBADE42" w14:textId="77777777" w:rsidR="00543EBB" w:rsidRPr="00AB0796" w:rsidRDefault="00543EBB" w:rsidP="00543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Stigmatization</w:t>
            </w:r>
          </w:p>
        </w:tc>
        <w:tc>
          <w:tcPr>
            <w:tcW w:w="3317" w:type="dxa"/>
            <w:vAlign w:val="center"/>
          </w:tcPr>
          <w:p w14:paraId="7AED69E2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17" w:type="dxa"/>
            <w:vAlign w:val="center"/>
          </w:tcPr>
          <w:p w14:paraId="0103F020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3317" w:type="dxa"/>
            <w:vAlign w:val="center"/>
          </w:tcPr>
          <w:p w14:paraId="0F1FBA32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.000</w:t>
            </w:r>
          </w:p>
        </w:tc>
      </w:tr>
      <w:tr w:rsidR="00543EBB" w:rsidRPr="00AB0796" w14:paraId="79807019" w14:textId="77777777" w:rsidTr="00543EBB">
        <w:trPr>
          <w:trHeight w:val="552"/>
        </w:trPr>
        <w:tc>
          <w:tcPr>
            <w:tcW w:w="3317" w:type="dxa"/>
            <w:vAlign w:val="center"/>
          </w:tcPr>
          <w:p w14:paraId="01167D9D" w14:textId="77777777" w:rsidR="00543EBB" w:rsidRPr="00AB0796" w:rsidRDefault="00543EBB" w:rsidP="00543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Discrimination</w:t>
            </w:r>
          </w:p>
        </w:tc>
        <w:tc>
          <w:tcPr>
            <w:tcW w:w="3317" w:type="dxa"/>
            <w:vAlign w:val="center"/>
          </w:tcPr>
          <w:p w14:paraId="56DD914D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317" w:type="dxa"/>
            <w:vAlign w:val="center"/>
          </w:tcPr>
          <w:p w14:paraId="0D1C29B1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.969</w:t>
            </w:r>
          </w:p>
        </w:tc>
        <w:tc>
          <w:tcPr>
            <w:tcW w:w="3317" w:type="dxa"/>
            <w:vAlign w:val="center"/>
          </w:tcPr>
          <w:p w14:paraId="0C782DC4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 w:rsidRPr="005A54D2">
              <w:rPr>
                <w:rFonts w:ascii="Times New Roman" w:hAnsi="Times New Roman" w:cs="Times New Roman"/>
                <w:highlight w:val="yellow"/>
              </w:rPr>
              <w:t>.082</w:t>
            </w:r>
          </w:p>
        </w:tc>
      </w:tr>
      <w:tr w:rsidR="00543EBB" w:rsidRPr="00AB0796" w14:paraId="397528C6" w14:textId="77777777" w:rsidTr="00543EBB">
        <w:trPr>
          <w:trHeight w:val="552"/>
        </w:trPr>
        <w:tc>
          <w:tcPr>
            <w:tcW w:w="3317" w:type="dxa"/>
            <w:vAlign w:val="center"/>
          </w:tcPr>
          <w:p w14:paraId="4F595C40" w14:textId="77777777" w:rsidR="00543EBB" w:rsidRPr="00AB0796" w:rsidRDefault="00543EBB" w:rsidP="00543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Victimization</w:t>
            </w:r>
          </w:p>
        </w:tc>
        <w:tc>
          <w:tcPr>
            <w:tcW w:w="3317" w:type="dxa"/>
            <w:vAlign w:val="center"/>
          </w:tcPr>
          <w:p w14:paraId="3234F61E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317" w:type="dxa"/>
            <w:vAlign w:val="center"/>
          </w:tcPr>
          <w:p w14:paraId="34D2A1D5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.986</w:t>
            </w:r>
          </w:p>
        </w:tc>
        <w:tc>
          <w:tcPr>
            <w:tcW w:w="3317" w:type="dxa"/>
            <w:vAlign w:val="center"/>
          </w:tcPr>
          <w:p w14:paraId="0F97466B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.060</w:t>
            </w:r>
          </w:p>
        </w:tc>
      </w:tr>
      <w:tr w:rsidR="00543EBB" w:rsidRPr="00AB0796" w14:paraId="0B08085E" w14:textId="77777777" w:rsidTr="00543EBB">
        <w:trPr>
          <w:trHeight w:val="552"/>
        </w:trPr>
        <w:tc>
          <w:tcPr>
            <w:tcW w:w="3317" w:type="dxa"/>
            <w:vAlign w:val="center"/>
          </w:tcPr>
          <w:p w14:paraId="5EAA0CB8" w14:textId="77777777" w:rsidR="00543EBB" w:rsidRPr="00AB0796" w:rsidRDefault="00543EBB" w:rsidP="00543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Internalized Homophobia</w:t>
            </w:r>
          </w:p>
        </w:tc>
        <w:tc>
          <w:tcPr>
            <w:tcW w:w="3317" w:type="dxa"/>
            <w:vAlign w:val="center"/>
          </w:tcPr>
          <w:p w14:paraId="3CB6D20D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17" w:type="dxa"/>
            <w:vAlign w:val="center"/>
          </w:tcPr>
          <w:p w14:paraId="4CA50314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.985</w:t>
            </w:r>
          </w:p>
        </w:tc>
        <w:tc>
          <w:tcPr>
            <w:tcW w:w="3317" w:type="dxa"/>
            <w:vAlign w:val="center"/>
          </w:tcPr>
          <w:p w14:paraId="7174059B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.068</w:t>
            </w:r>
          </w:p>
        </w:tc>
      </w:tr>
      <w:tr w:rsidR="00543EBB" w:rsidRPr="00AB0796" w14:paraId="38298E74" w14:textId="77777777" w:rsidTr="00543EBB">
        <w:trPr>
          <w:trHeight w:val="552"/>
        </w:trPr>
        <w:tc>
          <w:tcPr>
            <w:tcW w:w="3317" w:type="dxa"/>
            <w:vAlign w:val="center"/>
          </w:tcPr>
          <w:p w14:paraId="4E35B7C5" w14:textId="77777777" w:rsidR="00543EBB" w:rsidRPr="00AB0796" w:rsidRDefault="00543EBB" w:rsidP="00543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Sexual Identity Concealment</w:t>
            </w:r>
          </w:p>
        </w:tc>
        <w:tc>
          <w:tcPr>
            <w:tcW w:w="3317" w:type="dxa"/>
            <w:vAlign w:val="center"/>
          </w:tcPr>
          <w:p w14:paraId="7DD7CE30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17" w:type="dxa"/>
            <w:vAlign w:val="center"/>
          </w:tcPr>
          <w:p w14:paraId="5B0E0E88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.993</w:t>
            </w:r>
          </w:p>
        </w:tc>
        <w:tc>
          <w:tcPr>
            <w:tcW w:w="3317" w:type="dxa"/>
            <w:vAlign w:val="center"/>
          </w:tcPr>
          <w:p w14:paraId="4550646D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.080</w:t>
            </w:r>
          </w:p>
        </w:tc>
      </w:tr>
      <w:tr w:rsidR="00543EBB" w:rsidRPr="00AB0796" w14:paraId="31294EF1" w14:textId="77777777" w:rsidTr="00543EBB">
        <w:trPr>
          <w:trHeight w:val="552"/>
        </w:trPr>
        <w:tc>
          <w:tcPr>
            <w:tcW w:w="3317" w:type="dxa"/>
            <w:vAlign w:val="center"/>
          </w:tcPr>
          <w:p w14:paraId="2D4ABE5A" w14:textId="77777777" w:rsidR="00543EBB" w:rsidRPr="00AB0796" w:rsidRDefault="00543EBB" w:rsidP="00543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Perceived Social Support</w:t>
            </w:r>
          </w:p>
        </w:tc>
        <w:tc>
          <w:tcPr>
            <w:tcW w:w="3317" w:type="dxa"/>
            <w:vAlign w:val="center"/>
          </w:tcPr>
          <w:p w14:paraId="27753DBE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317" w:type="dxa"/>
            <w:vAlign w:val="center"/>
          </w:tcPr>
          <w:p w14:paraId="57CE5A98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.979</w:t>
            </w:r>
          </w:p>
        </w:tc>
        <w:tc>
          <w:tcPr>
            <w:tcW w:w="3317" w:type="dxa"/>
            <w:vAlign w:val="center"/>
          </w:tcPr>
          <w:p w14:paraId="22765861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.069</w:t>
            </w:r>
          </w:p>
        </w:tc>
      </w:tr>
      <w:tr w:rsidR="00543EBB" w:rsidRPr="00AB0796" w14:paraId="6A699FAD" w14:textId="77777777" w:rsidTr="00543EBB">
        <w:trPr>
          <w:trHeight w:val="552"/>
        </w:trPr>
        <w:tc>
          <w:tcPr>
            <w:tcW w:w="3317" w:type="dxa"/>
            <w:vAlign w:val="center"/>
          </w:tcPr>
          <w:p w14:paraId="18C634E4" w14:textId="77777777" w:rsidR="00543EBB" w:rsidRPr="00AB0796" w:rsidRDefault="00543EBB" w:rsidP="00543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LGBTQ+ Community Connectedness</w:t>
            </w:r>
          </w:p>
        </w:tc>
        <w:tc>
          <w:tcPr>
            <w:tcW w:w="3317" w:type="dxa"/>
            <w:vAlign w:val="center"/>
          </w:tcPr>
          <w:p w14:paraId="06E7D14B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17" w:type="dxa"/>
            <w:vAlign w:val="center"/>
          </w:tcPr>
          <w:p w14:paraId="0654E225" w14:textId="77777777" w:rsidR="00543EBB" w:rsidRPr="00410535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 w:rsidRPr="00410535">
              <w:rPr>
                <w:rFonts w:ascii="Times New Roman" w:hAnsi="Times New Roman" w:cs="Times New Roman"/>
              </w:rPr>
              <w:t>.984</w:t>
            </w:r>
          </w:p>
        </w:tc>
        <w:tc>
          <w:tcPr>
            <w:tcW w:w="3317" w:type="dxa"/>
            <w:vAlign w:val="center"/>
          </w:tcPr>
          <w:p w14:paraId="01746C41" w14:textId="77777777" w:rsidR="00543EBB" w:rsidRPr="005A54D2" w:rsidRDefault="00543EBB" w:rsidP="00543EBB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5A54D2">
              <w:rPr>
                <w:rFonts w:ascii="Times New Roman" w:hAnsi="Times New Roman" w:cs="Times New Roman"/>
                <w:highlight w:val="yellow"/>
              </w:rPr>
              <w:t>.</w:t>
            </w:r>
            <w:r>
              <w:rPr>
                <w:rFonts w:ascii="Times New Roman" w:hAnsi="Times New Roman" w:cs="Times New Roman"/>
                <w:highlight w:val="yellow"/>
              </w:rPr>
              <w:t>081</w:t>
            </w:r>
          </w:p>
        </w:tc>
      </w:tr>
      <w:tr w:rsidR="00543EBB" w:rsidRPr="00AB0796" w14:paraId="4051A7F5" w14:textId="77777777" w:rsidTr="00543EBB">
        <w:trPr>
          <w:trHeight w:val="552"/>
        </w:trPr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711F942D" w14:textId="77777777" w:rsidR="00543EBB" w:rsidRPr="00AB0796" w:rsidRDefault="00543EBB" w:rsidP="00543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Sexual Identity Centrality</w:t>
            </w: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63846FF7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6AC84D0A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.995</w:t>
            </w: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21407192" w14:textId="77777777" w:rsidR="00543EBB" w:rsidRPr="00AB0796" w:rsidRDefault="00543EBB" w:rsidP="00543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.054</w:t>
            </w:r>
          </w:p>
        </w:tc>
      </w:tr>
      <w:tr w:rsidR="00543EBB" w:rsidRPr="00AB0796" w14:paraId="3B4E641D" w14:textId="77777777" w:rsidTr="00543EBB">
        <w:trPr>
          <w:trHeight w:val="552"/>
        </w:trPr>
        <w:tc>
          <w:tcPr>
            <w:tcW w:w="13268" w:type="dxa"/>
            <w:gridSpan w:val="4"/>
            <w:tcBorders>
              <w:top w:val="single" w:sz="4" w:space="0" w:color="auto"/>
            </w:tcBorders>
          </w:tcPr>
          <w:p w14:paraId="17A54B81" w14:textId="284A8A1B" w:rsidR="00543EBB" w:rsidRPr="00AB0796" w:rsidRDefault="00543EBB" w:rsidP="00543E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. DF = Degrees of Freedom. CFI = Confirmatory Fit Index. RMSEA = Root Mean Square Error of Approximation. Values represent the final </w:t>
            </w:r>
            <w:r>
              <w:rPr>
                <w:rFonts w:ascii="Times New Roman" w:hAnsi="Times New Roman" w:cs="Times New Roman"/>
              </w:rPr>
              <w:t xml:space="preserve">fit indices </w:t>
            </w:r>
            <w:r>
              <w:rPr>
                <w:rFonts w:ascii="Times New Roman" w:hAnsi="Times New Roman" w:cs="Times New Roman"/>
              </w:rPr>
              <w:t xml:space="preserve">from confirmatory factor analysis models. </w:t>
            </w:r>
            <w:r>
              <w:rPr>
                <w:rFonts w:ascii="Times New Roman" w:hAnsi="Times New Roman" w:cs="Times New Roman"/>
              </w:rPr>
              <w:t xml:space="preserve">Highlighted values indicate fit indices that did not meet our criteria (CFI &gt; .95, RMSEA &lt; .08) of good fit. </w:t>
            </w:r>
            <w:r>
              <w:rPr>
                <w:rFonts w:ascii="Times New Roman" w:hAnsi="Times New Roman" w:cs="Times New Roman"/>
              </w:rPr>
              <w:t xml:space="preserve">We elected to accept the fit for discrimination and LGBTQ+ community connectedness because of 1) how close RMSEA values were to our cutoff and 2) not wanting to </w:t>
            </w:r>
            <w:r>
              <w:rPr>
                <w:rFonts w:ascii="Times New Roman" w:hAnsi="Times New Roman" w:cs="Times New Roman"/>
              </w:rPr>
              <w:t>oversaturate the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model with dependencies. </w:t>
            </w:r>
            <w:r>
              <w:rPr>
                <w:rFonts w:ascii="Times New Roman" w:hAnsi="Times New Roman" w:cs="Times New Roman"/>
              </w:rPr>
              <w:t xml:space="preserve">We did not use </w:t>
            </w:r>
            <w:r>
              <w:rPr>
                <w:rFonts w:ascii="Times New Roman" w:hAnsi="Times New Roman" w:cs="Times New Roman"/>
              </w:rPr>
              <w:t xml:space="preserve">standardized </w:t>
            </w:r>
            <w:r>
              <w:rPr>
                <w:rFonts w:ascii="Times New Roman" w:hAnsi="Times New Roman" w:cs="Times New Roman"/>
              </w:rPr>
              <w:t>factor scores f</w:t>
            </w:r>
            <w:r>
              <w:rPr>
                <w:rFonts w:ascii="Times New Roman" w:hAnsi="Times New Roman" w:cs="Times New Roman"/>
              </w:rPr>
              <w:t>or</w:t>
            </w:r>
            <w:r>
              <w:rPr>
                <w:rFonts w:ascii="Times New Roman" w:hAnsi="Times New Roman" w:cs="Times New Roman"/>
              </w:rPr>
              <w:t xml:space="preserve"> general stress given the poor overall fit of the model and instead used the raw sum scores in all specification curve models.</w:t>
            </w:r>
          </w:p>
        </w:tc>
      </w:tr>
    </w:tbl>
    <w:p w14:paraId="3E5A0BEF" w14:textId="00B37F6C" w:rsidR="00543EBB" w:rsidRPr="00543EBB" w:rsidRDefault="00543EBB" w:rsidP="00543EBB">
      <w:pPr>
        <w:spacing w:line="480" w:lineRule="auto"/>
        <w:rPr>
          <w:rFonts w:ascii="Times New Roman" w:hAnsi="Times New Roman" w:cs="Times New Roman"/>
          <w:i/>
          <w:iCs/>
        </w:rPr>
      </w:pPr>
      <w:r w:rsidRPr="00543EBB">
        <w:rPr>
          <w:rFonts w:ascii="Times New Roman" w:hAnsi="Times New Roman" w:cs="Times New Roman"/>
          <w:i/>
          <w:iCs/>
        </w:rPr>
        <w:t>Measurement model fit indices</w:t>
      </w:r>
      <w:r>
        <w:rPr>
          <w:rFonts w:ascii="Times New Roman" w:hAnsi="Times New Roman" w:cs="Times New Roman"/>
          <w:i/>
          <w:iCs/>
        </w:rPr>
        <w:t xml:space="preserve"> for study variables.</w:t>
      </w:r>
    </w:p>
    <w:p w14:paraId="2FAA7426" w14:textId="77777777" w:rsidR="00543EBB" w:rsidRDefault="00543EBB" w:rsidP="00543EBB">
      <w:pPr>
        <w:tabs>
          <w:tab w:val="left" w:pos="3800"/>
        </w:tabs>
        <w:rPr>
          <w:rFonts w:ascii="Times New Roman" w:hAnsi="Times New Roman" w:cs="Times New Roman"/>
        </w:rPr>
        <w:sectPr w:rsidR="00543EBB" w:rsidSect="00543EBB">
          <w:headerReference w:type="default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B40E726" w14:textId="77777777" w:rsidR="00543EBB" w:rsidRDefault="00543EBB" w:rsidP="00543EBB">
      <w:pPr>
        <w:tabs>
          <w:tab w:val="left" w:pos="3800"/>
        </w:tabs>
        <w:rPr>
          <w:rFonts w:ascii="Times New Roman" w:hAnsi="Times New Roman" w:cs="Times New Roman"/>
        </w:rPr>
      </w:pPr>
    </w:p>
    <w:p w14:paraId="42109835" w14:textId="77777777" w:rsidR="008007F2" w:rsidRDefault="008007F2" w:rsidP="00543EBB">
      <w:pPr>
        <w:tabs>
          <w:tab w:val="left" w:pos="3800"/>
        </w:tabs>
        <w:rPr>
          <w:rFonts w:ascii="Times New Roman" w:hAnsi="Times New Roman" w:cs="Times New Roman"/>
        </w:rPr>
      </w:pPr>
    </w:p>
    <w:p w14:paraId="1104EA1D" w14:textId="77777777" w:rsidR="008007F2" w:rsidRDefault="008007F2" w:rsidP="00543EBB">
      <w:pPr>
        <w:tabs>
          <w:tab w:val="left" w:pos="3800"/>
        </w:tabs>
        <w:rPr>
          <w:rFonts w:ascii="Times New Roman" w:hAnsi="Times New Roman" w:cs="Times New Roman"/>
        </w:rPr>
      </w:pPr>
    </w:p>
    <w:p w14:paraId="277CFA53" w14:textId="77777777" w:rsidR="008007F2" w:rsidRDefault="008007F2" w:rsidP="00543EBB">
      <w:pPr>
        <w:tabs>
          <w:tab w:val="left" w:pos="3800"/>
        </w:tabs>
        <w:rPr>
          <w:rFonts w:ascii="Times New Roman" w:hAnsi="Times New Roman" w:cs="Times New Roman"/>
        </w:rPr>
      </w:pPr>
    </w:p>
    <w:p w14:paraId="4DD09EE2" w14:textId="59089210" w:rsidR="00543EBB" w:rsidRDefault="005B53BA" w:rsidP="00543EBB">
      <w:pPr>
        <w:tabs>
          <w:tab w:val="left" w:pos="3800"/>
        </w:tabs>
        <w:rPr>
          <w:rFonts w:ascii="Times New Roman" w:hAnsi="Times New Roman" w:cs="Times New Roman"/>
          <w:noProof/>
          <w14:ligatures w14:val="standardContextual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38D851F8" wp14:editId="2A8C3AB3">
            <wp:extent cx="8229600" cy="3872865"/>
            <wp:effectExtent l="0" t="0" r="0" b="635"/>
            <wp:docPr id="211621502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15021" name="Picture 1" descr="A screen shot of a grap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173B" w14:textId="77777777" w:rsidR="008007F2" w:rsidRPr="008007F2" w:rsidRDefault="008007F2" w:rsidP="008007F2">
      <w:pPr>
        <w:rPr>
          <w:rFonts w:ascii="Times New Roman" w:hAnsi="Times New Roman" w:cs="Times New Roman"/>
        </w:rPr>
      </w:pPr>
    </w:p>
    <w:p w14:paraId="7415C757" w14:textId="1B18EBB7" w:rsidR="008007F2" w:rsidRPr="00AF7807" w:rsidRDefault="008007F2" w:rsidP="008007F2">
      <w:pPr>
        <w:tabs>
          <w:tab w:val="left" w:pos="5120"/>
        </w:tabs>
        <w:rPr>
          <w:rFonts w:ascii="Times New Roman" w:hAnsi="Times New Roman" w:cs="Times New Roman"/>
        </w:rPr>
      </w:pPr>
      <w:r w:rsidRPr="00F7534F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S1</w:t>
      </w:r>
      <w:r>
        <w:rPr>
          <w:rFonts w:ascii="Times New Roman" w:hAnsi="Times New Roman" w:cs="Times New Roman"/>
        </w:rPr>
        <w:t>. Standardized effect sizes of moderators on the influence of stressors on life satisfaction.</w:t>
      </w:r>
    </w:p>
    <w:p w14:paraId="0056CFF7" w14:textId="77777777" w:rsidR="008007F2" w:rsidRPr="008007F2" w:rsidRDefault="008007F2" w:rsidP="008007F2">
      <w:pPr>
        <w:ind w:firstLine="720"/>
        <w:rPr>
          <w:rFonts w:ascii="Times New Roman" w:hAnsi="Times New Roman" w:cs="Times New Roman"/>
        </w:rPr>
      </w:pPr>
    </w:p>
    <w:sectPr w:rsidR="008007F2" w:rsidRPr="008007F2" w:rsidSect="00543E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7C6D8" w14:textId="77777777" w:rsidR="0084717A" w:rsidRDefault="0084717A" w:rsidP="00543EBB">
      <w:r>
        <w:separator/>
      </w:r>
    </w:p>
  </w:endnote>
  <w:endnote w:type="continuationSeparator" w:id="0">
    <w:p w14:paraId="38C28B10" w14:textId="77777777" w:rsidR="0084717A" w:rsidRDefault="0084717A" w:rsidP="00543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ABB01" w14:textId="77777777" w:rsidR="0084717A" w:rsidRDefault="0084717A" w:rsidP="00543EBB">
      <w:r>
        <w:separator/>
      </w:r>
    </w:p>
  </w:footnote>
  <w:footnote w:type="continuationSeparator" w:id="0">
    <w:p w14:paraId="72C7C483" w14:textId="77777777" w:rsidR="0084717A" w:rsidRDefault="0084717A" w:rsidP="00543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11D02" w14:textId="77777777" w:rsidR="00543EBB" w:rsidRPr="00F27964" w:rsidRDefault="00543EBB" w:rsidP="00543EBB">
    <w:pPr>
      <w:pStyle w:val="Header"/>
      <w:tabs>
        <w:tab w:val="clear" w:pos="4680"/>
        <w:tab w:val="clear" w:pos="9360"/>
        <w:tab w:val="left" w:pos="1494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MINORITY STRESSORS AND LIFE SATISFACTION</w:t>
    </w:r>
  </w:p>
  <w:p w14:paraId="7B7F1931" w14:textId="77777777" w:rsidR="00543EBB" w:rsidRDefault="00543E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BB"/>
    <w:rsid w:val="000440CD"/>
    <w:rsid w:val="002422AD"/>
    <w:rsid w:val="00385651"/>
    <w:rsid w:val="004464F8"/>
    <w:rsid w:val="00543EBB"/>
    <w:rsid w:val="005B53BA"/>
    <w:rsid w:val="007678BC"/>
    <w:rsid w:val="008007F2"/>
    <w:rsid w:val="0084717A"/>
    <w:rsid w:val="00AA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0A49F"/>
  <w15:chartTrackingRefBased/>
  <w15:docId w15:val="{E9A55643-7187-3844-B8FE-6DD22A48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EB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E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E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E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E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E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E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E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EB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3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3E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EB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43E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EBB"/>
    <w:rPr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007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07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07F2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FA159C-B476-8148-AB50-DB543343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Taylor Nissen</dc:creator>
  <cp:keywords/>
  <dc:description/>
  <cp:lastModifiedBy>Adam Taylor Nissen</cp:lastModifiedBy>
  <cp:revision>1</cp:revision>
  <dcterms:created xsi:type="dcterms:W3CDTF">2024-09-13T20:56:00Z</dcterms:created>
  <dcterms:modified xsi:type="dcterms:W3CDTF">2024-09-13T21:26:00Z</dcterms:modified>
</cp:coreProperties>
</file>