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809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sz w:val="30"/>
          <w:szCs w:val="30"/>
          <w:lang w:eastAsia="zh-CN"/>
        </w:rPr>
        <w:t>11</w:t>
      </w:r>
      <w:r>
        <w:rPr>
          <w:rFonts w:hint="default"/>
          <w:b/>
          <w:bCs/>
          <w:sz w:val="30"/>
          <w:szCs w:val="30"/>
          <w:lang w:val="en-US" w:eastAsia="zh-CN"/>
        </w:rPr>
        <w:t>.11</w:t>
      </w:r>
      <w:r>
        <w:rPr>
          <w:rFonts w:hint="eastAsia"/>
          <w:b/>
          <w:bCs/>
          <w:sz w:val="30"/>
          <w:szCs w:val="30"/>
          <w:lang w:val="en-US" w:eastAsia="zh-CN"/>
        </w:rPr>
        <w:t>洁假日：AI洗地，轻松放手</w:t>
      </w:r>
    </w:p>
    <w:p w14:paraId="03EF04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一、宏观经济环境</w:t>
      </w:r>
    </w:p>
    <w:p w14:paraId="19DBB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前，我们正处在一个以“韧性增长”与“价值回归”为特征的宏观经济新阶段。消费者决策日趋理性，更加追求能够切实提升生活品质、解放个人时间的高确定性投资型消费。与此同时，人工智能技术正从概念走向成熟应用，一场“AI改变生活”的实体化革命悄然开启，智能家居产品从“锦上添花”的选项，转向“雪中送炭”的日常必需品。</w:t>
      </w:r>
    </w:p>
    <w:p w14:paraId="58D60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在此背景下，传统家务清洁模式正面临颠覆。消费者，尤其是疲于应对快节奏生活的都市人群，已不再满足于“电器替代人力”的初级阶段，他们渴望的是从清洁任务中被彻底解放。这意味着，产品不仅要解决“地面脏”的问题，更要终结“伺候机器”的二次劳动。</w:t>
      </w:r>
    </w:p>
    <w:p w14:paraId="51A8E2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二、AI洗地机产品现发展阶段</w:t>
      </w:r>
    </w:p>
    <w:p w14:paraId="0115D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i w:val="0"/>
          <w:caps w:val="0"/>
          <w:color w:val="24292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24292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综合近 2 年（2023‑2025）行业数据、技术演进和竞争格局的多维度信息，可将 AI 洗地机定位在 ‍</w:t>
      </w:r>
      <w:r>
        <w:rPr>
          <w:rStyle w:val="5"/>
          <w:rFonts w:hint="eastAsia" w:ascii="宋体" w:hAnsi="宋体" w:eastAsia="宋体" w:cs="宋体"/>
          <w:i w:val="0"/>
          <w:caps w:val="0"/>
          <w:color w:val="24292F"/>
          <w:spacing w:val="0"/>
          <w:kern w:val="0"/>
          <w:sz w:val="21"/>
          <w:szCs w:val="21"/>
          <w:u w:val="none"/>
          <w:lang w:val="en-US" w:eastAsia="zh-CN" w:bidi="ar"/>
        </w:rPr>
        <w:t>“成长期后期 → 向成熟期过渡”</w:t>
      </w:r>
      <w:r>
        <w:rPr>
          <w:rFonts w:hint="eastAsia" w:ascii="宋体" w:hAnsi="宋体" w:eastAsia="宋体" w:cs="宋体"/>
          <w:i w:val="0"/>
          <w:caps w:val="0"/>
          <w:color w:val="24292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‍ 的阶段。</w:t>
      </w:r>
    </w:p>
    <w:p w14:paraId="4925D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前洗地机产品形态还未完备，随着产品功能持续改进、智能化程度逐步提升、低维护/免维护功能持续拓展、长续航、噪音优化、吸力更加强劲、清洁场景不断拓展，行业有望持续增长。在成熟市场如欧美地区，消费者对清洁电器的接受度较高，洗地机凭借其高效清洁的特性，已在商业、工业等领域广泛应用，成为日常清洁普遍配备的工具，同时家庭普及率也在逐步提升。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国内的</w:t>
      </w:r>
      <w:r>
        <w:rPr>
          <w:rFonts w:hint="eastAsia" w:ascii="宋体" w:hAnsi="宋体" w:eastAsia="宋体" w:cs="宋体"/>
          <w:sz w:val="21"/>
          <w:szCs w:val="21"/>
        </w:rPr>
        <w:t>新兴市场，随着居民生活水平的提高以及对生活品质追求的增加，对洗地机这类高效清洁产品的需求开始迅速增长。</w:t>
      </w:r>
    </w:p>
    <w:p w14:paraId="38AAFD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然而</w:t>
      </w:r>
      <w:r>
        <w:rPr>
          <w:rFonts w:hint="eastAsia" w:ascii="宋体" w:hAnsi="宋体" w:eastAsia="宋体" w:cs="宋体"/>
          <w:sz w:val="21"/>
          <w:szCs w:val="21"/>
        </w:rPr>
        <w:t>国内洗地机市场快速扩容，但均价持续下行。在 2019-2024 年期间，洗地机市场全渠道的销售金额和销售数量均呈现增长趋势。销售金额从2019 年的 1 亿元增长至 2024 年的 141 亿元，年复合增长率约192%；销售数量从2019 年的 2 万台增长到2024 年的 663 万台，年复合增长率约 209%。但销售价格整体呈下降趋势，从 2019年的 2800 元降至 2024 年的 2126 元，年复合增长率约-5%。近一年（2024 年相较于2023 年），销售金额和销售数量继续保持增长，分别同比增长15.5%和 31.2%，而销售价格同比下降了 12.0%。从渠道看，洗地机销售以线上渠道为主，2024 年销额占比 6 成以上。近年来线下渠道占比快速提升，2024 年销额占比已达 37.7%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5DCEAA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5534025" cy="1818640"/>
            <wp:effectExtent l="0" t="0" r="5080" b="4445"/>
            <wp:docPr id="1" name="图片 1" descr="2025-11-03 17:51:06.25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5-11-03 17:51:06.250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D6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三、AI洗地机产品未来趋势</w:t>
      </w:r>
    </w:p>
    <w:p w14:paraId="41F5F8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功能场景化与定制高端化</w:t>
      </w:r>
    </w:p>
    <w:p w14:paraId="583F2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AI洗地机</w:t>
      </w:r>
      <w:r>
        <w:rPr>
          <w:rFonts w:hint="eastAsia" w:ascii="宋体" w:hAnsi="宋体" w:eastAsia="宋体" w:cs="宋体"/>
          <w:sz w:val="21"/>
          <w:szCs w:val="21"/>
        </w:rPr>
        <w:t>将针对特定场景进行深度定制。例如，推出厨房专用机型，强化重油污溶解与防缠绕能力；开发浴室机型，注重边角除霉和快速烘干；甚至为商用场景设计大容量、自集尘的机器人臂型号，实现无人化运维。在高端市场，AI双刷、热水洗烘、可伸缩机械臂等将成为差异化卖点，实现从“干净”到“极致洁净”的体验升级。</w:t>
      </w:r>
    </w:p>
    <w:p w14:paraId="1BF38A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2）</w:t>
      </w:r>
      <w:r>
        <w:rPr>
          <w:rFonts w:hint="eastAsia" w:ascii="宋体" w:hAnsi="宋体" w:eastAsia="宋体" w:cs="宋体"/>
          <w:sz w:val="21"/>
          <w:szCs w:val="21"/>
        </w:rPr>
        <w:t>技术平台化与决策自主化</w:t>
      </w:r>
    </w:p>
    <w:p w14:paraId="0F444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I大模型与边缘计算是背后的核心驱动力。它们能大幅降低复杂算法的部署成本，并让设备具备更精准的实时感知与决策能力。这意味着洗地机不再被动执行指令，而是能自主识别污渍类型、判断清洁难度，并调度合适的资源。</w:t>
      </w:r>
    </w:p>
    <w:p w14:paraId="780EB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最终，单个设备将融入整体的“全屋智能清洁”网络，与其他家电协同工作，自主完成从识别、规划到执行的全流程，真正实现无人值守的智能清洁新范式。</w:t>
      </w:r>
    </w:p>
    <w:p w14:paraId="2E2F47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四、双十一的营销意义</w:t>
      </w:r>
    </w:p>
    <w:p w14:paraId="28F33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双十一已成为中国消费者的购物狂欢节，能够极大地激发消费者的购买欲望，促进消费市场的繁荣。如2025年双十一开卖首小时内，天猫平台就有80个品牌成交额突破亿元，30516个品牌实现成交额同比翻倍，京东平台同期亦有超过5.2万个品牌成交额同比翻倍增。</w:t>
      </w:r>
    </w:p>
    <w:p w14:paraId="299FE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商家可以借助双十一的巨大流量和影响力，展示品牌的实力、产品的优势和创新能力，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塑造品牌形象，</w:t>
      </w:r>
      <w:r>
        <w:rPr>
          <w:rFonts w:hint="eastAsia" w:ascii="宋体" w:hAnsi="宋体" w:eastAsia="宋体" w:cs="宋体"/>
          <w:sz w:val="21"/>
          <w:szCs w:val="21"/>
        </w:rPr>
        <w:t>提升品牌的知名度和美誉度。例如，阿里平台通过推出“商家经营效率提升计划”，扶持商家提升利润，帮助商家树立良好的品牌形象。</w:t>
      </w:r>
    </w:p>
    <w:p w14:paraId="00860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双十一为商家提供了一个创新营销方式的平台，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促进创新营销方式。</w:t>
      </w:r>
      <w:r>
        <w:rPr>
          <w:rFonts w:hint="eastAsia" w:ascii="宋体" w:hAnsi="宋体" w:eastAsia="宋体" w:cs="宋体"/>
          <w:sz w:val="21"/>
          <w:szCs w:val="21"/>
        </w:rPr>
        <w:t>商家可以通过各种促销手段、营销活动和技术应用，吸引消费者的关注和参与。如2025年双十一期间，AI导购服务被大规模应用，天猫AI导购在首小时调用量即超过150亿次，通过深度学习算法为消费者精准推送商品，显著提升了转化率和用户体验。</w:t>
      </w:r>
    </w:p>
    <w:p w14:paraId="564D7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双十一</w:t>
      </w:r>
      <w:r>
        <w:rPr>
          <w:rFonts w:hint="eastAsia" w:ascii="宋体" w:hAnsi="宋体" w:eastAsia="宋体" w:cs="宋体"/>
          <w:sz w:val="21"/>
          <w:szCs w:val="21"/>
        </w:rPr>
        <w:t>引领消费趋势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消费者的购买行为和偏好能够反映出市场的需求变化和消费趋势，商家可以根据这些信息调整产品策略和市场定位，从而更好地满足消费者的需求。如2025年双十一显示，消费行为正朝着更理性、更注重品质和个性化的方向演变，商家也随之调整营销策略，以迎合消费者对透明实惠和便捷体验的追求。</w:t>
      </w:r>
    </w:p>
    <w:p w14:paraId="6DE2E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双十一”对企业而言，是一次集销售爆发、品牌锻造、市场洞察和体系锤炼于一体的战略机遇。它不仅是清理库存、冲刺销量的促销节点，更是企业实现新品引爆、抢占用户心智、检验供应链韧性和沉淀品牌资产的关键战役。通过参与这场年度消费盛会，企业能够快速提升市场占有率，优化全链路运营效率，并为后续产品迭代与长期发展注入强劲动力。</w:t>
      </w:r>
    </w:p>
    <w:p w14:paraId="0CDEFB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五、产品定位</w:t>
      </w:r>
    </w:p>
    <w:p w14:paraId="64EE92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1）</w:t>
      </w:r>
      <w:r>
        <w:rPr>
          <w:rFonts w:hint="eastAsia" w:ascii="宋体" w:hAnsi="宋体" w:eastAsia="宋体" w:cs="宋体"/>
          <w:sz w:val="21"/>
          <w:szCs w:val="21"/>
        </w:rPr>
        <w:t>国内市场定位：高端智能清洁赛道的技术引领者</w:t>
      </w:r>
    </w:p>
    <w:p w14:paraId="274A7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确立 “技术破局者” 地位。直面追觅、添可等头部品牌的激烈竞争，我们的核心定位不是跟随，而是超越——我们不仅解决地面清洁问题，更致力于终结“用户伺候机器”的行业痛点。凭借“自清洁+自烘干+AI主动决策”的全链路自动化能力，树立“免维护”清洁的新标杆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在</w:t>
      </w:r>
      <w:r>
        <w:rPr>
          <w:rFonts w:hint="eastAsia" w:ascii="宋体" w:hAnsi="宋体" w:eastAsia="宋体" w:cs="宋体"/>
          <w:sz w:val="21"/>
          <w:szCs w:val="21"/>
        </w:rPr>
        <w:t>品牌心智上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在“懒人经济”浪潮中，我们不做“性价比的选项”，而要成为 “省心生活的终极答案” ，抢占智能家居领域的技术制高点。</w:t>
      </w:r>
    </w:p>
    <w:p w14:paraId="5F2A68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（2）</w:t>
      </w:r>
      <w:r>
        <w:rPr>
          <w:rFonts w:hint="eastAsia" w:ascii="宋体" w:hAnsi="宋体" w:eastAsia="宋体" w:cs="宋体"/>
          <w:sz w:val="21"/>
          <w:szCs w:val="21"/>
        </w:rPr>
        <w:t>国际市场定位：来自中国的“创新价值”提供者</w:t>
      </w:r>
    </w:p>
    <w:p w14:paraId="6CF71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扮演 “高价值挑战者” 的角色。相较于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其他品牌</w:t>
      </w:r>
      <w:r>
        <w:rPr>
          <w:rFonts w:hint="eastAsia" w:ascii="宋体" w:hAnsi="宋体" w:eastAsia="宋体" w:cs="宋体"/>
          <w:sz w:val="21"/>
          <w:szCs w:val="21"/>
        </w:rPr>
        <w:t>规划式清洁、必胜的基础擦洗，我们的定位核心是提供一种更具未来感的、完整的自动化解决方案。</w:t>
      </w:r>
    </w:p>
    <w:p w14:paraId="623D6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我们不以低价取胜，而是凭借 “AI深度融入场景” 的体验优势，与海外品牌在“智能化”层面实现代差竞争。我们以 “中国智造” 的整体实力为背书，强调在复杂算法与硬件创新上的集成能力，建立起“可靠、领先”的创新者形象。</w:t>
      </w:r>
    </w:p>
    <w:p w14:paraId="62183F6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六、营销策略</w:t>
      </w:r>
    </w:p>
    <w:p w14:paraId="4FE6957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1）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线上营销方案：</w:t>
      </w:r>
    </w:p>
    <w:p w14:paraId="5F3E107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第一阶段：预热(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10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.15 - 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10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.31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)</w:t>
      </w:r>
    </w:p>
    <w:p w14:paraId="4F3A57B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内容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>营销：</w:t>
      </w:r>
    </w:p>
    <w:p w14:paraId="66AF27A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痛点视频： 制作系列短视频，真实还原“伺候洗地机”的烦恼（如清洗滚刷、处理污水箱），结尾引出：“11.11，给自己一个洁假日，告别这一切。”</w:t>
      </w:r>
    </w:p>
    <w:p w14:paraId="3899C09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KOL种草： 与合作科技、家居、生活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，测评</w:t>
      </w:r>
      <w:r>
        <w:rPr>
          <w:rFonts w:hint="eastAsia" w:ascii="宋体" w:hAnsi="宋体" w:eastAsia="宋体" w:cs="宋体"/>
          <w:sz w:val="21"/>
          <w:szCs w:val="21"/>
        </w:rPr>
        <w:t>类KOL，聚焦“全自动”、“自清洁烘干”功能，进行场景化体验评测，强化“轻松放手”的认知。</w:t>
      </w:r>
    </w:p>
    <w:p w14:paraId="6E42830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互动引流：</w:t>
      </w:r>
    </w:p>
    <w:p w14:paraId="610DDCC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话题挑战：</w:t>
      </w:r>
    </w:p>
    <w:p w14:paraId="047B499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sz w:val="21"/>
          <w:szCs w:val="21"/>
        </w:rPr>
        <w:t>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抖音</w:t>
      </w:r>
      <w:r>
        <w:rPr>
          <w:rFonts w:hint="eastAsia" w:ascii="宋体" w:hAnsi="宋体" w:eastAsia="宋体" w:cs="宋体"/>
          <w:sz w:val="21"/>
          <w:szCs w:val="21"/>
        </w:rPr>
        <w:t>发起 #我的洁假日愿望# 话题，邀请用户分享最想从家务中解放出来去做什么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。扩大声量的同时与消费者进行沟通，传递品牌理念。</w:t>
      </w:r>
    </w:p>
    <w:p w14:paraId="7A02B2A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在小红书发起#洁假日：家务消失术#，分享洗地机规避掉了容易引发家庭矛盾的“隐形家务”话题。如：日常清洁地板，不仅包括扫地，拖地。还连带了除油污，洗拖布，清理扫把，抹拖布拖出来的头发。这种“顺手”又“隐形”的家务无意间增加我们的家务负担。捡芝麻容易，捡一地芝麻难。抓住“让隐形家务消失”的用户痛点，</w:t>
      </w:r>
      <w:r>
        <w:rPr>
          <w:rFonts w:hint="eastAsia" w:ascii="宋体" w:hAnsi="宋体" w:eastAsia="宋体" w:cs="宋体"/>
          <w:sz w:val="21"/>
          <w:szCs w:val="21"/>
        </w:rPr>
        <w:t>升华为一个能与用户产生情感共鸣的生活主张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73FBF32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3、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线上抽奖活动：以上两个两个平台的话题分享，从中</w:t>
      </w:r>
      <w:r>
        <w:rPr>
          <w:rFonts w:hint="eastAsia" w:ascii="宋体" w:hAnsi="宋体" w:eastAsia="宋体" w:cs="宋体"/>
          <w:sz w:val="21"/>
          <w:szCs w:val="21"/>
        </w:rPr>
        <w:t>抽取幸运用户送出产品，扩大声量。</w:t>
      </w:r>
    </w:p>
    <w:p w14:paraId="68BDA93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预售锁定： 开启预售，主打“定金膨胀，预定你的洁假日”，提前锁定意向客户。</w:t>
      </w:r>
    </w:p>
    <w:p w14:paraId="4A607FC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第二阶段(11.1 - 11.11) 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：</w:t>
      </w:r>
    </w:p>
    <w:p w14:paraId="257A676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</w:rPr>
        <w:t>直播攻坚：</w:t>
      </w:r>
    </w:p>
    <w:p w14:paraId="46E99BA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头部主播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和KOL</w:t>
      </w:r>
      <w:r>
        <w:rPr>
          <w:rFonts w:hint="eastAsia" w:ascii="宋体" w:hAnsi="宋体" w:eastAsia="宋体" w:cs="宋体"/>
          <w:sz w:val="21"/>
          <w:szCs w:val="21"/>
        </w:rPr>
        <w:t>合作： 在超头主播直播间，设置“洁假日”专属时段，通过强有力的价格权益和现场演示，集中引爆销量。</w:t>
      </w:r>
    </w:p>
    <w:p w14:paraId="11D708C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品牌自播矩阵： 所有品牌自播间统一视觉主题为“洁假日”，主播话术集中演示“一键自清洁”等“免维护”功能，让“轻松放手”直观可见。</w:t>
      </w:r>
    </w:p>
    <w:p w14:paraId="64810FB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2.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广告</w:t>
      </w:r>
      <w:r>
        <w:rPr>
          <w:rFonts w:hint="eastAsia" w:ascii="宋体" w:hAnsi="宋体" w:eastAsia="宋体" w:cs="宋体"/>
          <w:sz w:val="21"/>
          <w:szCs w:val="21"/>
        </w:rPr>
        <w:t>资源整合：</w:t>
      </w:r>
    </w:p>
    <w:p w14:paraId="7595F44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核心资源位抢占： 全力争取天猫、京东等平台主会场及家电分会场的核心广告位，视觉强烈突出“洁假日”和“轻松放手”。</w:t>
      </w:r>
    </w:p>
    <w:p w14:paraId="3241B9D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搜索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广告</w:t>
      </w:r>
      <w:r>
        <w:rPr>
          <w:rFonts w:hint="eastAsia" w:ascii="宋体" w:hAnsi="宋体" w:eastAsia="宋体" w:cs="宋体"/>
          <w:sz w:val="21"/>
          <w:szCs w:val="21"/>
        </w:rPr>
        <w:t>优化： 优化“AI洗地机”、“自清洁洗地机”等关键词，确保品牌在相关搜索中的首位展示。</w:t>
      </w:r>
    </w:p>
    <w:p w14:paraId="55CF62E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落地页广告优化配合限时优惠：加强落地页广告的信息宣传力度，</w:t>
      </w:r>
      <w:r>
        <w:rPr>
          <w:rFonts w:hint="eastAsia" w:ascii="宋体" w:hAnsi="宋体" w:eastAsia="宋体" w:cs="宋体"/>
          <w:sz w:val="21"/>
          <w:szCs w:val="21"/>
        </w:rPr>
        <w:t>在11月10日晚8点至11日当天，推出前N名免单、赠品加码等限时刺激策略，促成最终转化。</w:t>
      </w:r>
    </w:p>
    <w:p w14:paraId="75FC1A2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第三阶段 (11.12起) 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：</w:t>
      </w:r>
    </w:p>
    <w:p w14:paraId="4237D3C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用户关怀与私域沉淀：</w:t>
      </w:r>
    </w:p>
    <w:p w14:paraId="0E82596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发货后发送温馨短信，再次强调“您的洁假日已正式开启”。</w:t>
      </w:r>
    </w:p>
    <w:p w14:paraId="1CCD75B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引导已购用户进入品牌私域社群，为后续服务和复购打下基础。</w:t>
      </w:r>
    </w:p>
    <w:p w14:paraId="3585CE6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口碑扩散：</w:t>
      </w:r>
    </w:p>
    <w:p w14:paraId="44CAD27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鼓励用户在社交平台分享“开箱视频”和“洁假日”生活体验，进行二次传播，反哺品牌长效资产。</w:t>
      </w:r>
    </w:p>
    <w:p w14:paraId="19E455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（2）线下营销策略：</w:t>
      </w:r>
    </w:p>
    <w:p w14:paraId="278181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次线下营销以“让普通家庭真正放下家务、轻松拥有洁净假日”为核心理念，强调AI洗地机在日常生活中的实用性与亲民特质。我们希望通过更贴近社区、贴近家庭、贴近真实使用场景的线下活动，让消费者切身感受到“科技让清洁变简单”的生活价值。活动周期设置为10月25日至11月12日，涵盖预热期、爆发期与延展期，与线上“双十一”节奏形成无缝衔接。</w:t>
      </w:r>
    </w:p>
    <w:p w14:paraId="0219FA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场地与渠道选择上，我们将以家庭客群高度集中的生活圈为重点，活动场所覆盖大型商超、社区广场、以及家电卖场等人流密集区域。例如，在沃尔玛超市等商场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超市</w:t>
      </w:r>
      <w:r>
        <w:rPr>
          <w:rFonts w:hint="eastAsia" w:ascii="宋体" w:hAnsi="宋体" w:eastAsia="宋体" w:cs="宋体"/>
          <w:sz w:val="21"/>
          <w:szCs w:val="21"/>
        </w:rPr>
        <w:t>入口处设置“洁假日体验展台”，在人流动线上展示产品外观与功能；在国美、苏宁、山姆会员店内打造“洁净体验区”，由品牌导购与产品工程师带领消费者现场体验洗地机的操作流程和“自动清洗+自烘干”功能；同时，我们将在写字楼休息区和住宅小区广场开展“下班十分钟，家务放假日”主题快闪活动，让白领与家庭主妇在生活节奏中找到“放手做自己”的瞬间。</w:t>
      </w:r>
    </w:p>
    <w:p w14:paraId="041830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体验环节将是整个线下营销的重点与亮点。我们会设计“一分钟洁净挑战”互动环节，让家庭用户在现场操作洗地机，通过真实的地面清洁对比，体验产品在吸力、续航、自动识别污渍等功能上的优势。另设“家务放假墙”，邀请观众写下“如果今天不用做家务，我想去做什么”的小心愿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用轻松的形式传递品牌主张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</w:rPr>
        <w:t>科技让家务变简单、让家庭更有温度。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</w:rPr>
        <w:t>为了增强互动趣味，我们还将在现场设置抽奖环节，参与活动即可获得品牌定制小礼品，如迷你清洁刷、小瓶装清洁液或洗地机滤芯体验装。所有物料与布景都采用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简单</w:t>
      </w:r>
      <w:r>
        <w:rPr>
          <w:rFonts w:hint="eastAsia" w:ascii="宋体" w:hAnsi="宋体" w:eastAsia="宋体" w:cs="宋体"/>
          <w:sz w:val="21"/>
          <w:szCs w:val="21"/>
        </w:rPr>
        <w:t>化可拆装设计，方便多地巡展和运输，降低搭建成本；同时通过与商场、社区物业合作共建活动场地，共享宣传资源，实现成本可控、效果最大化。</w:t>
      </w:r>
    </w:p>
    <w:p w14:paraId="4F0304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在线上线下协同方面，我们将视觉体系、品牌语调与宣传主题统一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化</w:t>
      </w:r>
      <w:r>
        <w:rPr>
          <w:rFonts w:hint="eastAsia" w:ascii="宋体" w:hAnsi="宋体" w:eastAsia="宋体" w:cs="宋体"/>
          <w:sz w:val="21"/>
          <w:szCs w:val="21"/>
        </w:rPr>
        <w:t>。“洁假日轻松放手”将贯穿所有物料与传播口径，形成强识别的品牌记忆。消费者在活动现场可通过扫码参与线上#我的洁假日愿望#话题挑战，将现场体验分享到抖音或小红书；而线上用户则可凭活动券至线下体验，形成闭环流动。我们还会在主要活动城市进行同步直播，通过短视频平台展示现场人流与体验氛围，让无法亲临现场的用户也能感受到“家务放假的真实快乐”。在线上偏重理性展示产品功能的基础上，线下更注重情感共鸣与生活体验的营造，让消费者在真实操作与互动中认同品牌价值。整个活动周期内，我们计划在全国范围内举办约15至20场线下活动，其中重点城市如上海、深圳、杭州、成都、武汉等将在11月8日至11日集中举行三至五场重点活动，形成节前高潮。后续将以“售后关怀日”和“家庭清洁课堂”的形式继续展开，巩固品牌口碑与复购率。</w:t>
      </w:r>
    </w:p>
    <w:p w14:paraId="344A0F8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hanging="210" w:hangingChars="10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价格策略</w:t>
      </w:r>
    </w:p>
    <w:p w14:paraId="46965F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价格策略上，我们希望传递“高品质，也能轻松拥有”的品牌主张，让AI智能清洁不再是中高端家庭的专属选择，而成为更多普通家庭可以负担得起的生活帮手。AI洗地机的日常定价将坚持合理与实用兼顾，定位在主流家庭消费可接受的区间内。主力机型日常售价为2599至2999元，核心卖点集中于“自动清洗、自动烘干、AI污渍识别”等功能，充分体现性价比优势。相较市面上同类型产品平均售价2800元左右的定位，我们通过优化成本和渠道资源，做到以更平易的价格提供更优体验，使家庭用户在理性消费中获得“物超所值”的感受。</w:t>
      </w:r>
    </w:p>
    <w:p w14:paraId="2BF744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“双十一”期间，我们将推出更具吸引力的促销价格与权益组合。主推机型将在原价基础上直降400至500元，限时售价约2299元，并推出“定金膨胀”、“赠品升级”和“限量免单”等促销形式。消费者在预售期（10月25日至10月31日）支付定金就可以锁定优惠名额，并在正式开售后享受额外赠品或配件福利，例如延长保修期、赠送清洁液或滚刷组件。为了保护老客户权益，我们设立“价保返差制度”，凡在活动前30天内购买的用户均可享受差价返还或积分补贴，确保价格波动不会引发负面体验。</w:t>
      </w:r>
    </w:p>
    <w:p w14:paraId="739B23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本次优惠周期将严格控制在11月1日至11日之间。11月12日起价格将恢复至常规水平，通过时间限定强化购买紧迫感，同时避免长期促销模糊品牌价值。在线上线下的价格设置上，我们将保持合理区隔以符合不同消费心理。线上平台如天猫、京东主推爆款型号，价格集中在2299至2599元区间，侧重吸引追求性价比和便捷下单的用户；线下门店与体验活动则以升级款或延保版机型为主，价格区间在2599至2999元，但附带“到店专属赠品”和“现场保养指导”等额外服务。这样的一方面能体现线下体验与服务价值，另一方面可避免线上线下价格冲突，形成互补的销售局面，让品牌在双十一期间既能以亲民价格触达大众，又能以品质口碑巩固长期市场地位。</w:t>
      </w:r>
    </w:p>
    <w:p w14:paraId="44EB94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八、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预期营销目标 </w:t>
      </w:r>
    </w:p>
    <w:p w14:paraId="194FC7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目标概述 </w:t>
      </w:r>
    </w:p>
    <w:p w14:paraId="249D16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本次营销活动旨在通过双十一节点实现短期销量爆发，同时积累品牌资产，促进长期增长。线上营销以电商平台为核心，依托直播、KOL种草等高转化方式；线下营销通过体验活动触达家庭用户，强化信任感。累计销售目标考虑到口碑传播、后续促销等，预计总销售金额将高于线上线下之和，体现营销活动的长尾效应。 </w:t>
      </w:r>
    </w:p>
    <w:p w14:paraId="3965FA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预期销售数据详述 </w:t>
      </w:r>
    </w:p>
    <w:p w14:paraId="18536105">
      <w:pPr>
        <w:keepNext w:val="0"/>
        <w:keepLines w:val="0"/>
        <w:pageBreakBefore w:val="0"/>
        <w:numPr>
          <w:ilvl w:val="0"/>
          <w:numId w:val="2"/>
        </w:numPr>
        <w:tabs>
          <w:tab w:val="left" w:pos="72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线上营销目标</w:t>
      </w:r>
      <w:r>
        <w:rPr>
          <w:rFonts w:hint="eastAsia" w:ascii="宋体" w:hAnsi="宋体" w:eastAsia="宋体" w:cs="宋体"/>
          <w:sz w:val="21"/>
          <w:szCs w:val="21"/>
        </w:rPr>
        <w:t xml:space="preserve">： </w:t>
      </w:r>
    </w:p>
    <w:p w14:paraId="51BDA86D">
      <w:pPr>
        <w:keepNext w:val="0"/>
        <w:keepLines w:val="0"/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营销周期</w:t>
      </w:r>
      <w:r>
        <w:rPr>
          <w:rFonts w:hint="eastAsia" w:ascii="宋体" w:hAnsi="宋体" w:eastAsia="宋体" w:cs="宋体"/>
          <w:sz w:val="21"/>
          <w:szCs w:val="21"/>
        </w:rPr>
        <w:t xml:space="preserve">：2025年10月15日至11月11日（预热期10.15-10.31，爆发期11.1-11.11），后续口碑阶段至11月底计入长尾。 </w:t>
      </w:r>
    </w:p>
    <w:p w14:paraId="73F32C7F">
      <w:pPr>
        <w:keepNext w:val="0"/>
        <w:keepLines w:val="0"/>
        <w:pageBreakBefore w:val="0"/>
        <w:numPr>
          <w:ilvl w:val="1"/>
          <w:numId w:val="2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预估依据</w:t>
      </w:r>
      <w:r>
        <w:rPr>
          <w:rFonts w:hint="eastAsia" w:ascii="宋体" w:hAnsi="宋体" w:eastAsia="宋体" w:cs="宋体"/>
          <w:sz w:val="21"/>
          <w:szCs w:val="21"/>
        </w:rPr>
        <w:t xml:space="preserve">：参考2024年洗地机线上渠道销额占比超60%，结合本次双十一流量预期，以及我们的促销力度（价格降至2299元起），预计线上转化率将提升20%。 </w:t>
      </w:r>
    </w:p>
    <w:p w14:paraId="52FEE83D">
      <w:pPr>
        <w:keepNext w:val="0"/>
        <w:keepLines w:val="0"/>
        <w:pageBreakBefore w:val="0"/>
        <w:numPr>
          <w:ilvl w:val="1"/>
          <w:numId w:val="2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销售数量与金额</w:t>
      </w:r>
      <w:r>
        <w:rPr>
          <w:rFonts w:hint="eastAsia" w:ascii="宋体" w:hAnsi="宋体" w:eastAsia="宋体" w:cs="宋体"/>
          <w:sz w:val="21"/>
          <w:szCs w:val="21"/>
        </w:rPr>
        <w:t xml:space="preserve">： </w:t>
      </w:r>
    </w:p>
    <w:p w14:paraId="18205FC7">
      <w:pPr>
        <w:keepNext w:val="0"/>
        <w:keepLines w:val="0"/>
        <w:pageBreakBefore w:val="0"/>
        <w:numPr>
          <w:ilvl w:val="2"/>
          <w:numId w:val="2"/>
        </w:numPr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爆发期（11.1-11.11）：预估销售5,500台，平均单价2,400元（主推型号2299-2599元），销售金额1,320万元。 </w:t>
      </w:r>
    </w:p>
    <w:p w14:paraId="2D07132F">
      <w:pPr>
        <w:keepNext w:val="0"/>
        <w:keepLines w:val="0"/>
        <w:pageBreakBefore w:val="0"/>
        <w:numPr>
          <w:ilvl w:val="2"/>
          <w:numId w:val="2"/>
        </w:numPr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预热期（10.15-10.31）：通过预售锁定，预估提前转化1,000台，金额240万元。 </w:t>
      </w:r>
    </w:p>
    <w:p w14:paraId="0377CD44">
      <w:pPr>
        <w:keepNext w:val="0"/>
        <w:keepLines w:val="0"/>
        <w:pageBreakBefore w:val="0"/>
        <w:numPr>
          <w:ilvl w:val="2"/>
          <w:numId w:val="2"/>
        </w:numPr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线上营销周期内（10.15-11.11）总销售：6,500台，销售金额1,560万元。 </w:t>
      </w:r>
    </w:p>
    <w:p w14:paraId="260A5F5B">
      <w:pPr>
        <w:keepNext w:val="0"/>
        <w:keepLines w:val="0"/>
        <w:pageBreakBefore w:val="0"/>
        <w:numPr>
          <w:ilvl w:val="0"/>
          <w:numId w:val="2"/>
        </w:numPr>
        <w:tabs>
          <w:tab w:val="left" w:pos="72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线下营销目标</w:t>
      </w:r>
      <w:r>
        <w:rPr>
          <w:rFonts w:hint="eastAsia" w:ascii="宋体" w:hAnsi="宋体" w:eastAsia="宋体" w:cs="宋体"/>
          <w:sz w:val="21"/>
          <w:szCs w:val="21"/>
        </w:rPr>
        <w:t xml:space="preserve">： </w:t>
      </w:r>
    </w:p>
    <w:p w14:paraId="76F8DBA1">
      <w:pPr>
        <w:keepNext w:val="0"/>
        <w:keepLines w:val="0"/>
        <w:pageBreakBefore w:val="0"/>
        <w:numPr>
          <w:ilvl w:val="1"/>
          <w:numId w:val="2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营销周期</w:t>
      </w:r>
      <w:r>
        <w:rPr>
          <w:rFonts w:hint="eastAsia" w:ascii="宋体" w:hAnsi="宋体" w:eastAsia="宋体" w:cs="宋体"/>
          <w:sz w:val="21"/>
          <w:szCs w:val="21"/>
        </w:rPr>
        <w:t xml:space="preserve">：2025年10月25日至11月12日（与线上协同），活动场次15-20场，重点城市集中爆发。 </w:t>
      </w:r>
    </w:p>
    <w:p w14:paraId="440EAAD2">
      <w:pPr>
        <w:keepNext w:val="0"/>
        <w:keepLines w:val="0"/>
        <w:pageBreakBefore w:val="0"/>
        <w:numPr>
          <w:ilvl w:val="1"/>
          <w:numId w:val="2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预估依据</w:t>
      </w:r>
      <w:r>
        <w:rPr>
          <w:rFonts w:hint="eastAsia" w:ascii="宋体" w:hAnsi="宋体" w:eastAsia="宋体" w:cs="宋体"/>
          <w:sz w:val="21"/>
          <w:szCs w:val="21"/>
        </w:rPr>
        <w:t xml:space="preserve">：线下体验活动设计为高互动性，预计场均转化率10-15%，参考2024年线下渠道销额占比37.7%且增速明显。 </w:t>
      </w:r>
    </w:p>
    <w:p w14:paraId="01BC1388">
      <w:pPr>
        <w:keepNext w:val="0"/>
        <w:keepLines w:val="0"/>
        <w:pageBreakBefore w:val="0"/>
        <w:numPr>
          <w:ilvl w:val="1"/>
          <w:numId w:val="2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销售数量与金额</w:t>
      </w:r>
      <w:r>
        <w:rPr>
          <w:rFonts w:hint="eastAsia" w:ascii="宋体" w:hAnsi="宋体" w:eastAsia="宋体" w:cs="宋体"/>
          <w:sz w:val="21"/>
          <w:szCs w:val="21"/>
        </w:rPr>
        <w:t xml:space="preserve">： </w:t>
      </w:r>
    </w:p>
    <w:p w14:paraId="274608B2">
      <w:pPr>
        <w:keepNext w:val="0"/>
        <w:keepLines w:val="0"/>
        <w:pageBreakBefore w:val="0"/>
        <w:numPr>
          <w:ilvl w:val="2"/>
          <w:numId w:val="2"/>
        </w:numPr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活动周期内总销售：预估1,200台，平均单价2,600元（线下主打升级型号），销售金额312万元。 </w:t>
      </w:r>
    </w:p>
    <w:p w14:paraId="44C868A9">
      <w:pPr>
        <w:keepNext w:val="0"/>
        <w:keepLines w:val="0"/>
        <w:pageBreakBefore w:val="0"/>
        <w:numPr>
          <w:ilvl w:val="2"/>
          <w:numId w:val="2"/>
        </w:numPr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单场销售：重点场次（如上海、深圳）预估日均销售30-50台，普通场次10-20台。 </w:t>
      </w:r>
    </w:p>
    <w:p w14:paraId="5763FDA0">
      <w:pPr>
        <w:keepNext w:val="0"/>
        <w:keepLines w:val="0"/>
        <w:pageBreakBefore w:val="0"/>
        <w:numPr>
          <w:ilvl w:val="0"/>
          <w:numId w:val="2"/>
        </w:numPr>
        <w:tabs>
          <w:tab w:val="left" w:pos="72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累计销售目标： </w:t>
      </w:r>
    </w:p>
    <w:p w14:paraId="3205C1FC">
      <w:pPr>
        <w:keepNext w:val="0"/>
        <w:keepLines w:val="0"/>
        <w:pageBreakBefore w:val="0"/>
        <w:numPr>
          <w:ilvl w:val="1"/>
          <w:numId w:val="2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长尾效应周期</w:t>
      </w:r>
      <w:r>
        <w:rPr>
          <w:rFonts w:hint="eastAsia" w:ascii="宋体" w:hAnsi="宋体" w:eastAsia="宋体" w:cs="宋体"/>
          <w:sz w:val="21"/>
          <w:szCs w:val="21"/>
        </w:rPr>
        <w:t xml:space="preserve">：双十一后至2025年底（11月12日至12月31日），受口碑扩散、用户分享及后续促销影响，预计产生额外销售。 </w:t>
      </w:r>
    </w:p>
    <w:p w14:paraId="21EFB8BD">
      <w:pPr>
        <w:keepNext w:val="0"/>
        <w:keepLines w:val="0"/>
        <w:pageBreakBefore w:val="0"/>
        <w:numPr>
          <w:ilvl w:val="1"/>
          <w:numId w:val="2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预估依据</w:t>
      </w:r>
      <w:r>
        <w:rPr>
          <w:rFonts w:hint="eastAsia" w:ascii="宋体" w:hAnsi="宋体" w:eastAsia="宋体" w:cs="宋体"/>
          <w:sz w:val="21"/>
          <w:szCs w:val="21"/>
        </w:rPr>
        <w:t xml:space="preserve">：行业数据显示，双十一后洗地机市场通常有10-15%的长尾增长。我们的私域运营将强化此效应。 </w:t>
      </w:r>
    </w:p>
    <w:p w14:paraId="048EFC7C">
      <w:pPr>
        <w:keepNext w:val="0"/>
        <w:keepLines w:val="0"/>
        <w:pageBreakBefore w:val="0"/>
        <w:numPr>
          <w:ilvl w:val="1"/>
          <w:numId w:val="2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累计销售</w:t>
      </w:r>
      <w:r>
        <w:rPr>
          <w:rFonts w:hint="eastAsia" w:ascii="宋体" w:hAnsi="宋体" w:eastAsia="宋体" w:cs="宋体"/>
          <w:sz w:val="21"/>
          <w:szCs w:val="21"/>
        </w:rPr>
        <w:t xml:space="preserve">： </w:t>
      </w:r>
    </w:p>
    <w:p w14:paraId="7C78E202">
      <w:pPr>
        <w:keepNext w:val="0"/>
        <w:keepLines w:val="0"/>
        <w:pageBreakBefore w:val="0"/>
        <w:numPr>
          <w:ilvl w:val="2"/>
          <w:numId w:val="2"/>
        </w:numPr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销售数量：线上长尾预估1,500台，线下长尾预估300台，累计总销售9,500台（线上8,000台 + 线下1,500台，大于周期内6,500+1,200=7,700台）。 </w:t>
      </w:r>
    </w:p>
    <w:p w14:paraId="44835313">
      <w:pPr>
        <w:keepNext w:val="0"/>
        <w:keepLines w:val="0"/>
        <w:pageBreakBefore w:val="0"/>
        <w:numPr>
          <w:ilvl w:val="2"/>
          <w:numId w:val="2"/>
        </w:numPr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销售金额：累计总金额2,090万元（线上1,920万元 + 线下390万元，大于周期内1,560+312=1,872万元），体现长尾增值。 </w:t>
      </w:r>
    </w:p>
    <w:p w14:paraId="7D16CC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预期营销目标汇总表： 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1749"/>
        <w:gridCol w:w="1308"/>
        <w:gridCol w:w="1286"/>
        <w:gridCol w:w="3082"/>
      </w:tblGrid>
      <w:tr w14:paraId="6DF88F8E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A5A5A5" w:themeFill="accent3"/>
            <w:vAlign w:val="center"/>
          </w:tcPr>
          <w:p w14:paraId="6EB236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营销渠道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A5A5A5" w:themeFill="accent3"/>
            <w:vAlign w:val="center"/>
          </w:tcPr>
          <w:p w14:paraId="45DFFC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营销周期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A5A5A5" w:themeFill="accent3"/>
            <w:vAlign w:val="center"/>
          </w:tcPr>
          <w:p w14:paraId="3CE488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预估销售数量（台）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A5A5A5" w:themeFill="accent3"/>
            <w:vAlign w:val="center"/>
          </w:tcPr>
          <w:p w14:paraId="265327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预估销售金额（万元）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A5A5A5" w:themeFill="accent3"/>
            <w:vAlign w:val="center"/>
          </w:tcPr>
          <w:p w14:paraId="5F201C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7971D6BB">
        <w:trPr>
          <w:jc w:val="center"/>
        </w:trPr>
        <w:tc>
          <w:tcPr>
            <w:tcW w:w="0" w:type="auto"/>
            <w:shd w:val="clear" w:color="auto" w:fill="ECECEC" w:themeFill="accent3" w:themeFillTint="33"/>
            <w:vAlign w:val="center"/>
          </w:tcPr>
          <w:p w14:paraId="73A826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线上营销</w:t>
            </w:r>
          </w:p>
        </w:tc>
        <w:tc>
          <w:tcPr>
            <w:tcW w:w="0" w:type="auto"/>
            <w:shd w:val="clear" w:color="auto" w:fill="ECECEC" w:themeFill="accent3" w:themeFillTint="33"/>
            <w:vAlign w:val="center"/>
          </w:tcPr>
          <w:p w14:paraId="14E1CB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2025.10.15-11.11</w:t>
            </w:r>
          </w:p>
        </w:tc>
        <w:tc>
          <w:tcPr>
            <w:tcW w:w="0" w:type="auto"/>
            <w:shd w:val="clear" w:color="auto" w:fill="ECECEC" w:themeFill="accent3" w:themeFillTint="33"/>
            <w:vAlign w:val="center"/>
          </w:tcPr>
          <w:p w14:paraId="3553DC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6,500</w:t>
            </w:r>
          </w:p>
        </w:tc>
        <w:tc>
          <w:tcPr>
            <w:tcW w:w="0" w:type="auto"/>
            <w:shd w:val="clear" w:color="auto" w:fill="ECECEC" w:themeFill="accent3" w:themeFillTint="33"/>
            <w:vAlign w:val="center"/>
          </w:tcPr>
          <w:p w14:paraId="6D4784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1,560</w:t>
            </w:r>
          </w:p>
        </w:tc>
        <w:tc>
          <w:tcPr>
            <w:tcW w:w="0" w:type="auto"/>
            <w:shd w:val="clear" w:color="auto" w:fill="ECECEC" w:themeFill="accent3" w:themeFillTint="33"/>
            <w:vAlign w:val="center"/>
          </w:tcPr>
          <w:p w14:paraId="6BC4D6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含预热期预售1,000台；平均单价2,400元</w:t>
            </w:r>
          </w:p>
        </w:tc>
      </w:tr>
      <w:tr w14:paraId="69268F94">
        <w:trPr>
          <w:jc w:val="center"/>
        </w:trPr>
        <w:tc>
          <w:tcPr>
            <w:tcW w:w="0" w:type="auto"/>
            <w:vAlign w:val="center"/>
          </w:tcPr>
          <w:p w14:paraId="1F47B6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线下营销</w:t>
            </w:r>
          </w:p>
        </w:tc>
        <w:tc>
          <w:tcPr>
            <w:tcW w:w="0" w:type="auto"/>
            <w:vAlign w:val="center"/>
          </w:tcPr>
          <w:p w14:paraId="1D3C9B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2025.10.25-11.12</w:t>
            </w:r>
          </w:p>
        </w:tc>
        <w:tc>
          <w:tcPr>
            <w:tcW w:w="0" w:type="auto"/>
            <w:vAlign w:val="center"/>
          </w:tcPr>
          <w:p w14:paraId="3925A2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1,200</w:t>
            </w:r>
          </w:p>
        </w:tc>
        <w:tc>
          <w:tcPr>
            <w:tcW w:w="0" w:type="auto"/>
            <w:vAlign w:val="center"/>
          </w:tcPr>
          <w:p w14:paraId="73DF0E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W w:w="0" w:type="auto"/>
            <w:vAlign w:val="center"/>
          </w:tcPr>
          <w:p w14:paraId="4F2C14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场均销售60-80台；平均单价2,600元</w:t>
            </w:r>
          </w:p>
        </w:tc>
      </w:tr>
      <w:tr w14:paraId="39CD441F">
        <w:trPr>
          <w:jc w:val="center"/>
        </w:trPr>
        <w:tc>
          <w:tcPr>
            <w:tcW w:w="0" w:type="auto"/>
            <w:shd w:val="clear" w:color="auto" w:fill="ECECEC" w:themeFill="accent3" w:themeFillTint="33"/>
            <w:vAlign w:val="center"/>
          </w:tcPr>
          <w:p w14:paraId="075F06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周期内小计</w:t>
            </w:r>
          </w:p>
        </w:tc>
        <w:tc>
          <w:tcPr>
            <w:tcW w:w="0" w:type="auto"/>
            <w:shd w:val="clear" w:color="auto" w:fill="ECECEC" w:themeFill="accent3" w:themeFillTint="33"/>
            <w:vAlign w:val="center"/>
          </w:tcPr>
          <w:p w14:paraId="639568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</w:p>
        </w:tc>
        <w:tc>
          <w:tcPr>
            <w:tcW w:w="0" w:type="auto"/>
            <w:shd w:val="clear" w:color="auto" w:fill="ECECEC" w:themeFill="accent3" w:themeFillTint="33"/>
            <w:vAlign w:val="center"/>
          </w:tcPr>
          <w:p w14:paraId="75E62B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7,700</w:t>
            </w:r>
          </w:p>
        </w:tc>
        <w:tc>
          <w:tcPr>
            <w:tcW w:w="0" w:type="auto"/>
            <w:shd w:val="clear" w:color="auto" w:fill="ECECEC" w:themeFill="accent3" w:themeFillTint="33"/>
            <w:vAlign w:val="center"/>
          </w:tcPr>
          <w:p w14:paraId="1A2949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1,872</w:t>
            </w:r>
          </w:p>
        </w:tc>
        <w:tc>
          <w:tcPr>
            <w:tcW w:w="0" w:type="auto"/>
            <w:shd w:val="clear" w:color="auto" w:fill="ECECEC" w:themeFill="accent3" w:themeFillTint="33"/>
            <w:vAlign w:val="center"/>
          </w:tcPr>
          <w:p w14:paraId="3CFC65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线上线下直接销售之和</w:t>
            </w:r>
          </w:p>
        </w:tc>
      </w:tr>
      <w:tr w14:paraId="1B0E1065">
        <w:trPr>
          <w:jc w:val="center"/>
        </w:trPr>
        <w:tc>
          <w:tcPr>
            <w:tcW w:w="0" w:type="auto"/>
            <w:vAlign w:val="center"/>
          </w:tcPr>
          <w:p w14:paraId="12BB34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长尾效应（累计）</w:t>
            </w:r>
          </w:p>
        </w:tc>
        <w:tc>
          <w:tcPr>
            <w:tcW w:w="0" w:type="auto"/>
            <w:vAlign w:val="center"/>
          </w:tcPr>
          <w:p w14:paraId="32D7FB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2025.11.12-12.31</w:t>
            </w:r>
          </w:p>
        </w:tc>
        <w:tc>
          <w:tcPr>
            <w:tcW w:w="0" w:type="auto"/>
            <w:vAlign w:val="center"/>
          </w:tcPr>
          <w:p w14:paraId="22E350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1,800</w:t>
            </w:r>
          </w:p>
        </w:tc>
        <w:tc>
          <w:tcPr>
            <w:tcW w:w="0" w:type="auto"/>
            <w:vAlign w:val="center"/>
          </w:tcPr>
          <w:p w14:paraId="058D2E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218</w:t>
            </w:r>
          </w:p>
        </w:tc>
        <w:tc>
          <w:tcPr>
            <w:tcW w:w="0" w:type="auto"/>
            <w:vAlign w:val="center"/>
          </w:tcPr>
          <w:p w14:paraId="1447A1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线上长尾1,500台（金额192万元），线下长尾300台（金额26万元）</w:t>
            </w:r>
          </w:p>
        </w:tc>
      </w:tr>
      <w:tr w14:paraId="51CABBD2">
        <w:trPr>
          <w:jc w:val="center"/>
        </w:trPr>
        <w:tc>
          <w:tcPr>
            <w:tcW w:w="0" w:type="auto"/>
            <w:shd w:val="clear" w:color="auto" w:fill="ECECEC" w:themeFill="accent3" w:themeFillTint="33"/>
            <w:vAlign w:val="center"/>
          </w:tcPr>
          <w:p w14:paraId="0597A8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累计总目标</w:t>
            </w:r>
          </w:p>
        </w:tc>
        <w:tc>
          <w:tcPr>
            <w:tcW w:w="0" w:type="auto"/>
            <w:shd w:val="clear" w:color="auto" w:fill="ECECEC" w:themeFill="accent3" w:themeFillTint="33"/>
            <w:vAlign w:val="center"/>
          </w:tcPr>
          <w:p w14:paraId="262A8D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</w:p>
        </w:tc>
        <w:tc>
          <w:tcPr>
            <w:tcW w:w="0" w:type="auto"/>
            <w:shd w:val="clear" w:color="auto" w:fill="ECECEC" w:themeFill="accent3" w:themeFillTint="33"/>
            <w:vAlign w:val="center"/>
          </w:tcPr>
          <w:p w14:paraId="497600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9,500</w:t>
            </w:r>
          </w:p>
        </w:tc>
        <w:tc>
          <w:tcPr>
            <w:tcW w:w="0" w:type="auto"/>
            <w:shd w:val="clear" w:color="auto" w:fill="ECECEC" w:themeFill="accent3" w:themeFillTint="33"/>
            <w:vAlign w:val="center"/>
          </w:tcPr>
          <w:p w14:paraId="4EF018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2,090</w:t>
            </w:r>
          </w:p>
        </w:tc>
        <w:tc>
          <w:tcPr>
            <w:tcW w:w="0" w:type="auto"/>
            <w:shd w:val="clear" w:color="auto" w:fill="ECECEC" w:themeFill="accent3" w:themeFillTint="33"/>
            <w:vAlign w:val="center"/>
          </w:tcPr>
          <w:p w14:paraId="6BF930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较周期内小计增长10.3%，体现长尾效应</w:t>
            </w:r>
          </w:p>
        </w:tc>
      </w:tr>
    </w:tbl>
    <w:p w14:paraId="7C9175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注：长尾效应基于用户分享和后续促销，预估保守但可实现。所有金额单位为人民币万元，销售数量取整。为支撑上述预估，我们参考了当前洗地机市场趋势。根据行业数据，洗地机市场虽均价下行，但销量持续增长，2024年销额达141亿元，双十一节点有望放大这一趋势。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2F3ECF51">
        <w:tc>
          <w:tcPr>
            <w:tcW w:w="4148" w:type="dxa"/>
          </w:tcPr>
          <w:p w14:paraId="5B3AA7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0" distR="0">
                  <wp:extent cx="2321560" cy="1559560"/>
                  <wp:effectExtent l="0" t="0" r="2540" b="2540"/>
                  <wp:docPr id="24270065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700653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880" cy="15655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4384F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0" distR="0">
                  <wp:extent cx="2324735" cy="1565910"/>
                  <wp:effectExtent l="0" t="0" r="0" b="0"/>
                  <wp:docPr id="117588626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886262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372" cy="1578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FF2F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九、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媒体投放策略 </w:t>
      </w:r>
    </w:p>
    <w:p w14:paraId="74C8F2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本次媒体投放旨在最大化“洁假日”主题的曝光度，驱动流量转化。策略基于目标消费者画像（都市家庭、科技爱好者），选择高ROI媒体渠道，总预算控制在营销总费用的30%以内，强调精准投放与线上线下协同。投放效果以曝光量、点击率和转化率为核心指标，确保每一分投入都可追踪。 </w:t>
      </w:r>
    </w:p>
    <w:p w14:paraId="5C0372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媒体投放总费用预估 </w:t>
      </w:r>
    </w:p>
    <w:p w14:paraId="0B4970FB">
      <w:pPr>
        <w:keepNext w:val="0"/>
        <w:keepLines w:val="0"/>
        <w:pageBreakBefore w:val="0"/>
        <w:numPr>
          <w:ilvl w:val="0"/>
          <w:numId w:val="3"/>
        </w:numPr>
        <w:tabs>
          <w:tab w:val="left" w:pos="72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总费用</w:t>
      </w:r>
      <w:r>
        <w:rPr>
          <w:rFonts w:hint="eastAsia" w:ascii="宋体" w:hAnsi="宋体" w:eastAsia="宋体" w:cs="宋体"/>
          <w:sz w:val="21"/>
          <w:szCs w:val="21"/>
        </w:rPr>
        <w:t xml:space="preserve">：150万元（占预估总营销金额2,090万元的7.2%，处于行业合理区间5-10%）。 </w:t>
      </w:r>
    </w:p>
    <w:p w14:paraId="1B7FF533">
      <w:pPr>
        <w:keepNext w:val="0"/>
        <w:keepLines w:val="0"/>
        <w:pageBreakBefore w:val="0"/>
        <w:numPr>
          <w:ilvl w:val="0"/>
          <w:numId w:val="3"/>
        </w:numPr>
        <w:tabs>
          <w:tab w:val="left" w:pos="72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费用分配</w:t>
      </w:r>
      <w:r>
        <w:rPr>
          <w:rFonts w:hint="eastAsia" w:ascii="宋体" w:hAnsi="宋体" w:eastAsia="宋体" w:cs="宋体"/>
          <w:sz w:val="21"/>
          <w:szCs w:val="21"/>
        </w:rPr>
        <w:t xml:space="preserve">：线上媒体占85%（127.5万元），线下辅助占15%（22.5万元），侧重数字渠道以契合双十一线上消费习惯。 </w:t>
      </w:r>
    </w:p>
    <w:p w14:paraId="16EE58DB">
      <w:pPr>
        <w:keepNext w:val="0"/>
        <w:keepLines w:val="0"/>
        <w:pageBreakBefore w:val="0"/>
        <w:numPr>
          <w:ilvl w:val="0"/>
          <w:numId w:val="3"/>
        </w:numPr>
        <w:tabs>
          <w:tab w:val="left" w:pos="72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备用策略</w:t>
      </w:r>
      <w:r>
        <w:rPr>
          <w:rFonts w:hint="eastAsia" w:ascii="宋体" w:hAnsi="宋体" w:eastAsia="宋体" w:cs="宋体"/>
          <w:sz w:val="21"/>
          <w:szCs w:val="21"/>
        </w:rPr>
        <w:t xml:space="preserve">：预留10%弹性费用（15万元），用于突发流量机会或效果不佳渠道的调整。 </w:t>
      </w:r>
    </w:p>
    <w:p w14:paraId="50D38D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媒体选择及安排详细计划 </w:t>
      </w:r>
    </w:p>
    <w:p w14:paraId="5EE057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我们以“整合营销”为原则，选择主流平台实现全覆盖。投放周期与营销阶段同步（预热期10.15-10.31、爆发期11.1-11.11、后续期11.12-11.30），时段聚焦用户活跃高峰（如晚间19-23点）。以下为详细计划表：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276"/>
        <w:gridCol w:w="1650"/>
        <w:gridCol w:w="1539"/>
        <w:gridCol w:w="1108"/>
        <w:gridCol w:w="1857"/>
      </w:tblGrid>
      <w:tr w14:paraId="6A6BC936">
        <w:trPr>
          <w:jc w:val="center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ED7D31" w:themeFill="accent2"/>
            <w:vAlign w:val="center"/>
          </w:tcPr>
          <w:p w14:paraId="5F9820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媒体名称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ED7D31" w:themeFill="accent2"/>
            <w:vAlign w:val="center"/>
          </w:tcPr>
          <w:p w14:paraId="6A18B0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投放周期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ED7D31" w:themeFill="accent2"/>
            <w:vAlign w:val="center"/>
          </w:tcPr>
          <w:p w14:paraId="504291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投放时段/空间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ED7D31" w:themeFill="accent2"/>
            <w:vAlign w:val="center"/>
          </w:tcPr>
          <w:p w14:paraId="24C609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信息发布形式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ED7D31" w:themeFill="accent2"/>
            <w:vAlign w:val="center"/>
          </w:tcPr>
          <w:p w14:paraId="5C556F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投放费用（万元）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ED7D31" w:themeFill="accent2"/>
            <w:vAlign w:val="center"/>
          </w:tcPr>
          <w:p w14:paraId="54A8CA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备用策略</w:t>
            </w:r>
          </w:p>
        </w:tc>
      </w:tr>
      <w:tr w14:paraId="295958A1">
        <w:trPr>
          <w:jc w:val="center"/>
        </w:trPr>
        <w:tc>
          <w:tcPr>
            <w:tcW w:w="1129" w:type="dxa"/>
            <w:shd w:val="clear" w:color="auto" w:fill="FBE4D5" w:themeFill="accent2" w:themeFillTint="33"/>
            <w:vAlign w:val="center"/>
          </w:tcPr>
          <w:p w14:paraId="44130D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抖音</w:t>
            </w:r>
          </w:p>
        </w:tc>
        <w:tc>
          <w:tcPr>
            <w:tcW w:w="822" w:type="dxa"/>
            <w:shd w:val="clear" w:color="auto" w:fill="FBE4D5" w:themeFill="accent2" w:themeFillTint="33"/>
            <w:vAlign w:val="center"/>
          </w:tcPr>
          <w:p w14:paraId="29EF90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10.15-11.11</w:t>
            </w:r>
          </w:p>
        </w:tc>
        <w:tc>
          <w:tcPr>
            <w:tcW w:w="1700" w:type="dxa"/>
            <w:shd w:val="clear" w:color="auto" w:fill="FBE4D5" w:themeFill="accent2" w:themeFillTint="33"/>
            <w:vAlign w:val="center"/>
          </w:tcPr>
          <w:p w14:paraId="66952E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每日19-23点（用户高峰）</w:t>
            </w:r>
          </w:p>
        </w:tc>
        <w:tc>
          <w:tcPr>
            <w:tcW w:w="1589" w:type="dxa"/>
            <w:shd w:val="clear" w:color="auto" w:fill="FBE4D5" w:themeFill="accent2" w:themeFillTint="33"/>
            <w:vAlign w:val="center"/>
          </w:tcPr>
          <w:p w14:paraId="0425B1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信息流广告+挑战赛话题植入</w:t>
            </w:r>
          </w:p>
        </w:tc>
        <w:tc>
          <w:tcPr>
            <w:tcW w:w="1134" w:type="dxa"/>
            <w:shd w:val="clear" w:color="auto" w:fill="FBE4D5" w:themeFill="accent2" w:themeFillTint="33"/>
            <w:vAlign w:val="center"/>
          </w:tcPr>
          <w:p w14:paraId="351857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922" w:type="dxa"/>
            <w:shd w:val="clear" w:color="auto" w:fill="FBE4D5" w:themeFill="accent2" w:themeFillTint="33"/>
            <w:vAlign w:val="center"/>
          </w:tcPr>
          <w:p w14:paraId="01DD7E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若互动率低于5%，增加KOL合作视频投放</w:t>
            </w:r>
          </w:p>
        </w:tc>
      </w:tr>
      <w:tr w14:paraId="3BC8B9BF">
        <w:trPr>
          <w:jc w:val="center"/>
        </w:trPr>
        <w:tc>
          <w:tcPr>
            <w:tcW w:w="1129" w:type="dxa"/>
            <w:vAlign w:val="center"/>
          </w:tcPr>
          <w:p w14:paraId="63A9D8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天猫/京东</w:t>
            </w:r>
          </w:p>
        </w:tc>
        <w:tc>
          <w:tcPr>
            <w:tcW w:w="822" w:type="dxa"/>
            <w:vAlign w:val="center"/>
          </w:tcPr>
          <w:p w14:paraId="05E875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11.1-11.11</w:t>
            </w:r>
          </w:p>
        </w:tc>
        <w:tc>
          <w:tcPr>
            <w:tcW w:w="1700" w:type="dxa"/>
            <w:vAlign w:val="center"/>
          </w:tcPr>
          <w:p w14:paraId="41F26C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平台主会场黄金位+搜索广告</w:t>
            </w:r>
          </w:p>
        </w:tc>
        <w:tc>
          <w:tcPr>
            <w:tcW w:w="1589" w:type="dxa"/>
            <w:vAlign w:val="center"/>
          </w:tcPr>
          <w:p w14:paraId="0C3E1E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品牌专区广告+关键词优化</w:t>
            </w:r>
          </w:p>
        </w:tc>
        <w:tc>
          <w:tcPr>
            <w:tcW w:w="1134" w:type="dxa"/>
            <w:vAlign w:val="center"/>
          </w:tcPr>
          <w:p w14:paraId="46168F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W w:w="1922" w:type="dxa"/>
            <w:vAlign w:val="center"/>
          </w:tcPr>
          <w:p w14:paraId="6A9D9E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备用：争夺秒杀资源位，费用追加5万元</w:t>
            </w:r>
          </w:p>
        </w:tc>
      </w:tr>
      <w:tr w14:paraId="47D00261">
        <w:trPr>
          <w:jc w:val="center"/>
        </w:trPr>
        <w:tc>
          <w:tcPr>
            <w:tcW w:w="1129" w:type="dxa"/>
            <w:shd w:val="clear" w:color="auto" w:fill="FBE4D5" w:themeFill="accent2" w:themeFillTint="33"/>
            <w:vAlign w:val="center"/>
          </w:tcPr>
          <w:p w14:paraId="1E8AB9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小红书</w:t>
            </w:r>
          </w:p>
        </w:tc>
        <w:tc>
          <w:tcPr>
            <w:tcW w:w="822" w:type="dxa"/>
            <w:shd w:val="clear" w:color="auto" w:fill="FBE4D5" w:themeFill="accent2" w:themeFillTint="33"/>
            <w:vAlign w:val="center"/>
          </w:tcPr>
          <w:p w14:paraId="4AEB85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10.15-11.5</w:t>
            </w:r>
          </w:p>
        </w:tc>
        <w:tc>
          <w:tcPr>
            <w:tcW w:w="1700" w:type="dxa"/>
            <w:shd w:val="clear" w:color="auto" w:fill="FBE4D5" w:themeFill="accent2" w:themeFillTint="33"/>
            <w:vAlign w:val="center"/>
          </w:tcPr>
          <w:p w14:paraId="488024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首页推荐流+话题页</w:t>
            </w:r>
          </w:p>
        </w:tc>
        <w:tc>
          <w:tcPr>
            <w:tcW w:w="1589" w:type="dxa"/>
            <w:shd w:val="clear" w:color="auto" w:fill="FBE4D5" w:themeFill="accent2" w:themeFillTint="33"/>
            <w:vAlign w:val="center"/>
          </w:tcPr>
          <w:p w14:paraId="770760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种草笔记+达人合作开箱视频</w:t>
            </w:r>
          </w:p>
        </w:tc>
        <w:tc>
          <w:tcPr>
            <w:tcW w:w="1134" w:type="dxa"/>
            <w:shd w:val="clear" w:color="auto" w:fill="FBE4D5" w:themeFill="accent2" w:themeFillTint="33"/>
            <w:vAlign w:val="center"/>
          </w:tcPr>
          <w:p w14:paraId="70FFDE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W w:w="1922" w:type="dxa"/>
            <w:shd w:val="clear" w:color="auto" w:fill="FBE4D5" w:themeFill="accent2" w:themeFillTint="33"/>
            <w:vAlign w:val="center"/>
          </w:tcPr>
          <w:p w14:paraId="2309BE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效果不佳时转向精准人群重定向</w:t>
            </w:r>
          </w:p>
        </w:tc>
      </w:tr>
      <w:tr w14:paraId="3D6A85F8">
        <w:trPr>
          <w:jc w:val="center"/>
        </w:trPr>
        <w:tc>
          <w:tcPr>
            <w:tcW w:w="1129" w:type="dxa"/>
            <w:vAlign w:val="center"/>
          </w:tcPr>
          <w:p w14:paraId="11F82F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微信朋友圈</w:t>
            </w:r>
          </w:p>
        </w:tc>
        <w:tc>
          <w:tcPr>
            <w:tcW w:w="822" w:type="dxa"/>
            <w:vAlign w:val="center"/>
          </w:tcPr>
          <w:p w14:paraId="7951D9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10.20-11.10</w:t>
            </w:r>
          </w:p>
        </w:tc>
        <w:tc>
          <w:tcPr>
            <w:tcW w:w="1700" w:type="dxa"/>
            <w:vAlign w:val="center"/>
          </w:tcPr>
          <w:p w14:paraId="5410F8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工作日通勤时段（7-9点、18-20点）</w:t>
            </w:r>
          </w:p>
        </w:tc>
        <w:tc>
          <w:tcPr>
            <w:tcW w:w="1589" w:type="dxa"/>
            <w:vAlign w:val="center"/>
          </w:tcPr>
          <w:p w14:paraId="2A0C0F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品牌故事视频+小程序导流</w:t>
            </w:r>
          </w:p>
        </w:tc>
        <w:tc>
          <w:tcPr>
            <w:tcW w:w="1134" w:type="dxa"/>
            <w:vAlign w:val="center"/>
          </w:tcPr>
          <w:p w14:paraId="2BCA41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W w:w="1922" w:type="dxa"/>
            <w:vAlign w:val="center"/>
          </w:tcPr>
          <w:p w14:paraId="09452A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备用：增加公众号软文合作</w:t>
            </w:r>
          </w:p>
        </w:tc>
      </w:tr>
      <w:tr w14:paraId="3229227F">
        <w:trPr>
          <w:jc w:val="center"/>
        </w:trPr>
        <w:tc>
          <w:tcPr>
            <w:tcW w:w="1129" w:type="dxa"/>
            <w:shd w:val="clear" w:color="auto" w:fill="FBE4D5" w:themeFill="accent2" w:themeFillTint="33"/>
            <w:vAlign w:val="center"/>
          </w:tcPr>
          <w:p w14:paraId="3AA247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线下社区广告</w:t>
            </w:r>
          </w:p>
        </w:tc>
        <w:tc>
          <w:tcPr>
            <w:tcW w:w="822" w:type="dxa"/>
            <w:shd w:val="clear" w:color="auto" w:fill="FBE4D5" w:themeFill="accent2" w:themeFillTint="33"/>
            <w:vAlign w:val="center"/>
          </w:tcPr>
          <w:p w14:paraId="7EA73D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10.25-11.12</w:t>
            </w:r>
          </w:p>
        </w:tc>
        <w:tc>
          <w:tcPr>
            <w:tcW w:w="1700" w:type="dxa"/>
            <w:shd w:val="clear" w:color="auto" w:fill="FBE4D5" w:themeFill="accent2" w:themeFillTint="33"/>
            <w:vAlign w:val="center"/>
          </w:tcPr>
          <w:p w14:paraId="70E5E2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重点城市社区电梯屏+商场LED</w:t>
            </w:r>
          </w:p>
        </w:tc>
        <w:tc>
          <w:tcPr>
            <w:tcW w:w="1589" w:type="dxa"/>
            <w:shd w:val="clear" w:color="auto" w:fill="FBE4D5" w:themeFill="accent2" w:themeFillTint="33"/>
            <w:vAlign w:val="center"/>
          </w:tcPr>
          <w:p w14:paraId="3E3978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短视频演示“轻松放手”功能</w:t>
            </w:r>
          </w:p>
        </w:tc>
        <w:tc>
          <w:tcPr>
            <w:tcW w:w="1134" w:type="dxa"/>
            <w:shd w:val="clear" w:color="auto" w:fill="FBE4D5" w:themeFill="accent2" w:themeFillTint="33"/>
            <w:vAlign w:val="center"/>
          </w:tcPr>
          <w:p w14:paraId="3DD69D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W w:w="1922" w:type="dxa"/>
            <w:shd w:val="clear" w:color="auto" w:fill="FBE4D5" w:themeFill="accent2" w:themeFillTint="33"/>
            <w:vAlign w:val="center"/>
          </w:tcPr>
          <w:p w14:paraId="6D7164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若到场率低，转为线上直播引流</w:t>
            </w:r>
          </w:p>
        </w:tc>
      </w:tr>
      <w:tr w14:paraId="02648FCE">
        <w:trPr>
          <w:jc w:val="center"/>
        </w:trPr>
        <w:tc>
          <w:tcPr>
            <w:tcW w:w="1129" w:type="dxa"/>
            <w:vAlign w:val="center"/>
          </w:tcPr>
          <w:p w14:paraId="6F1D2B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广播/音频平台</w:t>
            </w:r>
          </w:p>
        </w:tc>
        <w:tc>
          <w:tcPr>
            <w:tcW w:w="822" w:type="dxa"/>
            <w:vAlign w:val="center"/>
          </w:tcPr>
          <w:p w14:paraId="4D0ED4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11.1-11.11</w:t>
            </w:r>
          </w:p>
        </w:tc>
        <w:tc>
          <w:tcPr>
            <w:tcW w:w="1700" w:type="dxa"/>
            <w:vAlign w:val="center"/>
          </w:tcPr>
          <w:p w14:paraId="4CF98E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早高峰时段（7-9点）</w:t>
            </w:r>
          </w:p>
        </w:tc>
        <w:tc>
          <w:tcPr>
            <w:tcW w:w="1589" w:type="dxa"/>
            <w:vAlign w:val="center"/>
          </w:tcPr>
          <w:p w14:paraId="1CE849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30秒口播广告+促销信息</w:t>
            </w:r>
          </w:p>
        </w:tc>
        <w:tc>
          <w:tcPr>
            <w:tcW w:w="1134" w:type="dxa"/>
            <w:vAlign w:val="center"/>
          </w:tcPr>
          <w:p w14:paraId="16643C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1922" w:type="dxa"/>
            <w:vAlign w:val="center"/>
          </w:tcPr>
          <w:p w14:paraId="1E8228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无备用（测试性投放）</w:t>
            </w:r>
          </w:p>
        </w:tc>
      </w:tr>
      <w:tr w14:paraId="1B2A73AE">
        <w:trPr>
          <w:jc w:val="center"/>
        </w:trPr>
        <w:tc>
          <w:tcPr>
            <w:tcW w:w="1129" w:type="dxa"/>
            <w:shd w:val="clear" w:color="auto" w:fill="FBE4D5" w:themeFill="accent2" w:themeFillTint="33"/>
            <w:vAlign w:val="center"/>
          </w:tcPr>
          <w:p w14:paraId="66ED75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总计</w:t>
            </w:r>
          </w:p>
        </w:tc>
        <w:tc>
          <w:tcPr>
            <w:tcW w:w="822" w:type="dxa"/>
            <w:shd w:val="clear" w:color="auto" w:fill="FBE4D5" w:themeFill="accent2" w:themeFillTint="33"/>
            <w:vAlign w:val="center"/>
          </w:tcPr>
          <w:p w14:paraId="3ED2DA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</w:p>
        </w:tc>
        <w:tc>
          <w:tcPr>
            <w:tcW w:w="1700" w:type="dxa"/>
            <w:shd w:val="clear" w:color="auto" w:fill="FBE4D5" w:themeFill="accent2" w:themeFillTint="33"/>
            <w:vAlign w:val="center"/>
          </w:tcPr>
          <w:p w14:paraId="3A0B94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</w:p>
        </w:tc>
        <w:tc>
          <w:tcPr>
            <w:tcW w:w="1589" w:type="dxa"/>
            <w:shd w:val="clear" w:color="auto" w:fill="FBE4D5" w:themeFill="accent2" w:themeFillTint="33"/>
            <w:vAlign w:val="center"/>
          </w:tcPr>
          <w:p w14:paraId="693D94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</w:p>
        </w:tc>
        <w:tc>
          <w:tcPr>
            <w:tcW w:w="1134" w:type="dxa"/>
            <w:shd w:val="clear" w:color="auto" w:fill="FBE4D5" w:themeFill="accent2" w:themeFillTint="33"/>
            <w:vAlign w:val="center"/>
          </w:tcPr>
          <w:p w14:paraId="7A85DA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155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（含备用弹性）</w:t>
            </w:r>
          </w:p>
        </w:tc>
        <w:tc>
          <w:tcPr>
            <w:tcW w:w="1922" w:type="dxa"/>
            <w:shd w:val="clear" w:color="auto" w:fill="FBE4D5" w:themeFill="accent2" w:themeFillTint="33"/>
            <w:vAlign w:val="center"/>
          </w:tcPr>
          <w:p w14:paraId="7C27BA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</w:p>
        </w:tc>
      </w:tr>
    </w:tbl>
    <w:p w14:paraId="46A490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注：费用单位为万元；投放形式注重互动性；线下广告选择社区场景，强化体验营销导流。 </w:t>
      </w:r>
    </w:p>
    <w:p w14:paraId="323866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3）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投放效果预估 </w:t>
      </w:r>
    </w:p>
    <w:p w14:paraId="38BFF890">
      <w:pPr>
        <w:keepNext w:val="0"/>
        <w:keepLines w:val="0"/>
        <w:pageBreakBefore w:val="0"/>
        <w:numPr>
          <w:ilvl w:val="0"/>
          <w:numId w:val="4"/>
        </w:numPr>
        <w:tabs>
          <w:tab w:val="left" w:pos="72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曝光量与覆盖人群</w:t>
      </w:r>
      <w:r>
        <w:rPr>
          <w:rFonts w:hint="eastAsia" w:ascii="宋体" w:hAnsi="宋体" w:eastAsia="宋体" w:cs="宋体"/>
          <w:sz w:val="21"/>
          <w:szCs w:val="21"/>
        </w:rPr>
        <w:t xml:space="preserve">：预计总曝光量超5亿次，覆盖目标人群（25-45岁家庭用户）约3,000万人，契合双十一流量规模。 </w:t>
      </w:r>
    </w:p>
    <w:p w14:paraId="37AF8687">
      <w:pPr>
        <w:keepNext w:val="0"/>
        <w:keepLines w:val="0"/>
        <w:pageBreakBefore w:val="0"/>
        <w:numPr>
          <w:ilvl w:val="0"/>
          <w:numId w:val="4"/>
        </w:numPr>
        <w:tabs>
          <w:tab w:val="left" w:pos="72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点击率与转化率</w:t>
      </w:r>
      <w:r>
        <w:rPr>
          <w:rFonts w:hint="eastAsia" w:ascii="宋体" w:hAnsi="宋体" w:eastAsia="宋体" w:cs="宋体"/>
          <w:sz w:val="21"/>
          <w:szCs w:val="21"/>
        </w:rPr>
        <w:t xml:space="preserve">：基于历史数据，预估平均点击率3-5%（抖音、小红书较高），转化率2-3%（电商平台主导），直接带动线上销售60%以上。 </w:t>
      </w:r>
    </w:p>
    <w:p w14:paraId="63C8B731">
      <w:pPr>
        <w:keepNext w:val="0"/>
        <w:keepLines w:val="0"/>
        <w:pageBreakBefore w:val="0"/>
        <w:numPr>
          <w:ilvl w:val="0"/>
          <w:numId w:val="4"/>
        </w:numPr>
        <w:tabs>
          <w:tab w:val="left" w:pos="72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品牌提升指标</w:t>
      </w:r>
      <w:r>
        <w:rPr>
          <w:rFonts w:hint="eastAsia" w:ascii="宋体" w:hAnsi="宋体" w:eastAsia="宋体" w:cs="宋体"/>
          <w:sz w:val="21"/>
          <w:szCs w:val="21"/>
        </w:rPr>
        <w:t xml:space="preserve">：预计品牌搜索量增长50%，社交媒体声量提升100%，为长尾效应奠基。 </w:t>
      </w:r>
    </w:p>
    <w:p w14:paraId="7D818858">
      <w:pPr>
        <w:keepNext w:val="0"/>
        <w:keepLines w:val="0"/>
        <w:pageBreakBefore w:val="0"/>
        <w:numPr>
          <w:ilvl w:val="0"/>
          <w:numId w:val="4"/>
        </w:numPr>
        <w:tabs>
          <w:tab w:val="left" w:pos="72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风险控制</w:t>
      </w:r>
      <w:r>
        <w:rPr>
          <w:rFonts w:hint="eastAsia" w:ascii="宋体" w:hAnsi="宋体" w:eastAsia="宋体" w:cs="宋体"/>
          <w:sz w:val="21"/>
          <w:szCs w:val="21"/>
        </w:rPr>
        <w:t xml:space="preserve">：通过A/B测试优化素材，备用策略确保预算效率；效果追踪以平台数据为准，每日复盘调整。 </w:t>
      </w:r>
    </w:p>
    <w:p w14:paraId="0E31DA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通过精准安排，我们力求在双十一红海中脱颖而出，实现销售与品牌双赢。 </w:t>
      </w:r>
    </w:p>
    <w:p w14:paraId="64B305A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1D8FA54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</w:p>
    <w:p w14:paraId="405ED61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</w:p>
    <w:p w14:paraId="5A831D8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DC21EB"/>
    <w:multiLevelType w:val="multilevel"/>
    <w:tmpl w:val="1EDC21EB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">
    <w:nsid w:val="529D07F4"/>
    <w:multiLevelType w:val="multilevel"/>
    <w:tmpl w:val="529D07F4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">
    <w:nsid w:val="60A86253"/>
    <w:multiLevelType w:val="multilevel"/>
    <w:tmpl w:val="60A86253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3">
    <w:nsid w:val="7CF8EF40"/>
    <w:multiLevelType w:val="singleLevel"/>
    <w:tmpl w:val="7CF8EF40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B2D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table" w:customStyle="1" w:styleId="6">
    <w:name w:val="Grid Table 4 Accent 3"/>
    <w:basedOn w:val="2"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7">
    <w:name w:val="Grid Table 4 Accent 2"/>
    <w:basedOn w:val="2"/>
    <w:uiPriority w:val="49"/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12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2025-11-04T01:22:00Z</dcterms:created>
  <dc:creator>iPad</dc:creator>
  <cp:lastModifiedBy>zz</cp:lastModifiedBy>
  <dcterms:modified xsi:type="dcterms:W3CDTF">2025-11-07T00:42:06Z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DD864FD68C076A32DECF0C691CA92830_43</vt:lpwstr>
  </property>
</Properties>
</file>