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Calibri" w:hAnsi="Calibri"/>
          <w:b/>
          <w:sz w:val="28"/>
        </w:rPr>
        <w:t>ALEXANDER TOBIN</w:t>
      </w:r>
    </w:p>
    <w:p>
      <w:pPr>
        <w:spacing w:before="0" w:after="280"/>
        <w:jc w:val="left"/>
      </w:pPr>
      <w:r>
        <w:rPr>
          <w:rFonts w:ascii="Calibri" w:hAnsi="Calibri"/>
          <w:b w:val="0"/>
          <w:color w:val="6B7280"/>
          <w:sz w:val="20"/>
        </w:rPr>
        <w:t>(757) 289-1204  |  atobin@alum.utk.edu  |  Virginia Beach, VA</w:t>
      </w:r>
    </w:p>
    <w:p>
      <w:pPr>
        <w:spacing w:before="0" w:after="120"/>
        <w:jc w:val="left"/>
      </w:pPr>
      <w:r>
        <w:rPr>
          <w:rFonts w:ascii="Calibri" w:hAnsi="Calibri"/>
          <w:b w:val="0"/>
          <w:sz w:val="22"/>
        </w:rPr>
        <w:t>August 21, 2026</w:t>
      </w:r>
    </w:p>
    <w:p>
      <w:pPr>
        <w:spacing w:before="0" w:after="40"/>
        <w:jc w:val="left"/>
      </w:pPr>
      <w:r>
        <w:rPr>
          <w:rFonts w:ascii="Calibri" w:hAnsi="Calibri"/>
          <w:b w:val="0"/>
          <w:sz w:val="22"/>
        </w:rPr>
        <w:t>Hiring Team</w:t>
      </w:r>
    </w:p>
    <w:p>
      <w:pPr>
        <w:spacing w:before="0" w:after="280"/>
        <w:jc w:val="left"/>
      </w:pPr>
      <w:r>
        <w:rPr>
          <w:rFonts w:ascii="Calibri" w:hAnsi="Calibri"/>
          <w:b w:val="0"/>
          <w:sz w:val="22"/>
        </w:rPr>
        <w:t>Pediatrica Health Group Inc.</w:t>
      </w:r>
    </w:p>
    <w:p>
      <w:pPr>
        <w:spacing w:before="0" w:after="200"/>
        <w:jc w:val="left"/>
      </w:pPr>
      <w:r>
        <w:rPr>
          <w:rFonts w:ascii="Calibri" w:hAnsi="Calibri"/>
          <w:b w:val="0"/>
          <w:sz w:val="22"/>
        </w:rPr>
        <w:t>Dear Hiring Team,</w:t>
      </w:r>
    </w:p>
    <w:p>
      <w:pPr>
        <w:spacing w:before="0" w:after="200"/>
        <w:jc w:val="left"/>
      </w:pPr>
      <w:r>
        <w:rPr>
          <w:rFonts w:ascii="Calibri" w:hAnsi="Calibri"/>
          <w:b w:val="0"/>
          <w:sz w:val="22"/>
        </w:rPr>
        <w:t>I am writing to express my interest in the EDI Business Analyst Specialist role at Pediatrica Health Group. My background in enterprise EDI operations at Ferguson Enterprises gives me a strong foundation in the core competencies this role demands — document mapping and validation, loop and segment error analysis, data feed monitoring, UAT, and cross-functional stakeholder communication — and I am actively building toward healthcare EDI specialization.</w:t>
      </w:r>
    </w:p>
    <w:p>
      <w:pPr>
        <w:spacing w:before="0" w:after="200"/>
        <w:jc w:val="left"/>
      </w:pPr>
      <w:r>
        <w:rPr>
          <w:rFonts w:ascii="Calibri" w:hAnsi="Calibri"/>
          <w:b w:val="0"/>
          <w:sz w:val="22"/>
        </w:rPr>
        <w:t>At Ferguson, I led end-to-end onboarding of trading partners to a high-volume B2B EDI platform, designing and validating constructs across 810, 846, 850, 855, and 856 transaction sets. I monitored data feeds for systemic risks, performed root-cause analysis on mapping discrepancies and segment-level failures, and maintained detailed SOPs and process documentation throughout. I applied SQL against MS SQL Server to validate transaction accuracy, and supported system integration testing and UAT for EDI enhancements. The structural logic of EDI — ISA/GS envelopes, loop hierarchies, segment qualifiers, acknowledgment cycles — transfers directly to healthcare transaction sets, and I am actively studying 837, 835, 277CA, and 999/TA1 workflows as I pursue the DP-203 Azure Data Engineering certification.</w:t>
      </w:r>
    </w:p>
    <w:p>
      <w:pPr>
        <w:spacing w:before="0" w:after="200"/>
        <w:jc w:val="left"/>
      </w:pPr>
      <w:r>
        <w:rPr>
          <w:rFonts w:ascii="Calibri" w:hAnsi="Calibri"/>
          <w:b w:val="0"/>
          <w:sz w:val="22"/>
        </w:rPr>
        <w:t>I recognize that this role requires deep familiarity with healthcare-specific transactions and RCM processes that I am still developing. I bring that transparency alongside genuine enthusiasm for the domain: the precision and compliance stakes of healthcare EDI align well with how I approach integration work, and I am a fast, structured learner in new transaction set environments.</w:t>
      </w:r>
    </w:p>
    <w:p>
      <w:pPr>
        <w:spacing w:before="0" w:after="200"/>
        <w:jc w:val="left"/>
      </w:pPr>
      <w:r>
        <w:rPr>
          <w:rFonts w:ascii="Calibri" w:hAnsi="Calibri"/>
          <w:b w:val="0"/>
          <w:sz w:val="22"/>
        </w:rPr>
        <w:t>I would welcome the opportunity to discuss how my EDI fundamentals and analytical approach could contribute to Pediatrica Health Group's integration operations.</w:t>
      </w:r>
    </w:p>
    <w:p>
      <w:pPr>
        <w:spacing w:before="0" w:after="400"/>
        <w:jc w:val="left"/>
      </w:pPr>
      <w:r>
        <w:rPr>
          <w:rFonts w:ascii="Calibri" w:hAnsi="Calibri"/>
          <w:b w:val="0"/>
          <w:sz w:val="22"/>
        </w:rPr>
        <w:t>Thank you for your consideration.</w:t>
      </w:r>
    </w:p>
    <w:p>
      <w:pPr>
        <w:spacing w:before="0" w:after="80"/>
        <w:jc w:val="left"/>
      </w:pPr>
      <w:r>
        <w:rPr>
          <w:rFonts w:ascii="Calibri" w:hAnsi="Calibri"/>
          <w:b w:val="0"/>
          <w:sz w:val="22"/>
        </w:rPr>
        <w:t>Sincerely,</w:t>
      </w:r>
    </w:p>
    <w:p>
      <w:pPr>
        <w:spacing w:before="0" w:after="0"/>
        <w:jc w:val="left"/>
      </w:pPr>
      <w:r>
        <w:rPr>
          <w:rFonts w:ascii="Calibri" w:hAnsi="Calibri"/>
          <w:b/>
          <w:sz w:val="22"/>
        </w:rPr>
        <w:t>Alexander Tobin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