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p>
    <w:p>
      <w:pPr>
        <w:spacing w:after="0" w:before="0"/>
        <w:jc w:val="left"/>
      </w:pPr>
      <w:r>
        <w:rPr>
          <w:rFonts w:ascii="Calibri" w:hAnsi="Calibri"/>
          <w:b w:val="0"/>
          <w:color w:val="718096"/>
          <w:sz w:val="20"/>
        </w:rPr>
        <w:t>Alexander Tobin</w:t>
      </w:r>
    </w:p>
    <w:p>
      <w:pPr>
        <w:spacing w:after="0" w:before="0"/>
        <w:jc w:val="left"/>
      </w:pPr>
      <w:r>
        <w:rPr>
          <w:rFonts w:ascii="Calibri" w:hAnsi="Calibri"/>
          <w:b w:val="0"/>
          <w:color w:val="718096"/>
          <w:sz w:val="20"/>
        </w:rPr>
        <w:t>(757) 289-1204 | atobin@alum.utk.edu | Virginia Beach, VA</w:t>
      </w:r>
    </w:p>
    <w:p>
      <w:pPr>
        <w:spacing w:after="160"/>
        <w:pBdr>
          <w:bottom w:val="single" w:sz="16" w:space="1" w:color="1B7A8C"/>
        </w:pBdr>
      </w:pPr>
    </w:p>
    <w:p>
      <w:pPr>
        <w:spacing w:after="0" w:before="0"/>
        <w:jc w:val="left"/>
      </w:pPr>
      <w:r>
        <w:rPr>
          <w:rFonts w:ascii="Calibri" w:hAnsi="Calibri"/>
          <w:b w:val="0"/>
          <w:color w:val="09152A"/>
          <w:sz w:val="21"/>
        </w:rPr>
        <w:t>June 30, 2026</w:t>
      </w:r>
    </w:p>
    <w:p>
      <w:pPr>
        <w:spacing w:after="120" w:before="0"/>
        <w:jc w:val="left"/>
      </w:pPr>
    </w:p>
    <w:p>
      <w:pPr>
        <w:spacing w:after="80" w:before="0"/>
        <w:jc w:val="left"/>
      </w:pPr>
    </w:p>
    <w:p>
      <w:pPr>
        <w:spacing w:after="160" w:before="0"/>
        <w:jc w:val="left"/>
      </w:pPr>
      <w:r>
        <w:rPr>
          <w:rFonts w:ascii="Calibri" w:hAnsi="Calibri"/>
          <w:b w:val="0"/>
          <w:color w:val="09152A"/>
          <w:sz w:val="22"/>
        </w:rPr>
        <w:t>Hiring Team</w:t>
      </w:r>
    </w:p>
    <w:p>
      <w:pPr>
        <w:spacing w:after="160" w:before="0"/>
        <w:jc w:val="left"/>
      </w:pPr>
      <w:r>
        <w:rPr>
          <w:rFonts w:ascii="Calibri" w:hAnsi="Calibri"/>
          <w:b w:val="0"/>
          <w:color w:val="09152A"/>
          <w:sz w:val="22"/>
        </w:rPr>
        <w:t>Microflexinfra</w:t>
      </w:r>
    </w:p>
    <w:p>
      <w:pPr>
        <w:spacing w:after="80" w:before="0"/>
        <w:jc w:val="left"/>
      </w:pPr>
    </w:p>
    <w:p>
      <w:pPr>
        <w:spacing w:after="160" w:before="0"/>
        <w:jc w:val="left"/>
      </w:pPr>
      <w:r>
        <w:rPr>
          <w:rFonts w:ascii="Calibri" w:hAnsi="Calibri"/>
          <w:b w:val="0"/>
          <w:color w:val="09152A"/>
          <w:sz w:val="22"/>
        </w:rPr>
        <w:t>---</w:t>
      </w:r>
    </w:p>
    <w:p>
      <w:pPr>
        <w:spacing w:after="80" w:before="0"/>
        <w:jc w:val="left"/>
      </w:pPr>
    </w:p>
    <w:p>
      <w:pPr>
        <w:spacing w:after="200" w:before="0"/>
        <w:jc w:val="left"/>
      </w:pPr>
      <w:r>
        <w:rPr>
          <w:rFonts w:ascii="Calibri" w:hAnsi="Calibri"/>
          <w:b/>
          <w:color w:val="09152A"/>
          <w:sz w:val="22"/>
        </w:rPr>
        <w:t>Dear Hiring Team,</w:t>
      </w:r>
    </w:p>
    <w:p>
      <w:pPr>
        <w:spacing w:after="80" w:before="0"/>
        <w:jc w:val="left"/>
      </w:pPr>
    </w:p>
    <w:p>
      <w:pPr>
        <w:spacing w:after="160" w:before="0"/>
        <w:jc w:val="left"/>
      </w:pPr>
      <w:r>
        <w:rPr>
          <w:rFonts w:ascii="Calibri" w:hAnsi="Calibri"/>
          <w:b w:val="0"/>
          <w:color w:val="09152A"/>
          <w:sz w:val="22"/>
        </w:rPr>
        <w:t>I am writing to apply for the Business Data Analyst role at Microflexinfra. Data collection, cleaning, and reporting have been at the core of my work for over a decade — across supply chain, B2B e-commerce, and logistics — and I bring practical experience with every tool in your stack: SQL, Excel, Power BI, and Tableau.</w:t>
      </w:r>
    </w:p>
    <w:p>
      <w:pPr>
        <w:spacing w:after="80" w:before="0"/>
        <w:jc w:val="left"/>
      </w:pPr>
    </w:p>
    <w:p>
      <w:pPr>
        <w:spacing w:after="160" w:before="0"/>
        <w:jc w:val="left"/>
      </w:pPr>
      <w:r>
        <w:rPr>
          <w:rFonts w:ascii="Calibri" w:hAnsi="Calibri"/>
          <w:b w:val="0"/>
          <w:color w:val="09152A"/>
          <w:sz w:val="22"/>
        </w:rPr>
        <w:t>At Ferguson Enterprises I built and maintained the reporting infrastructure used by leadership across sales, operations, and finance. That meant writing SQL queries daily against large MS SQL Server databases, building Power BI dashboards that translated multi-source data into clear business narratives, and supporting teams with ad hoc analysis and reporting requests. I also owned the documentation side — defining KPIs, recording metric logic, and ensuring that anyone picking up a report understood what they were looking at and why. At Catalyzt Nutrition I maintained dashboards across marketing and logistics, supported cross-functional stakeholders with data requests, and used AI tools to accelerate data cleaning and documentation workflows.</w:t>
      </w:r>
    </w:p>
    <w:p>
      <w:pPr>
        <w:spacing w:after="80" w:before="0"/>
        <w:jc w:val="left"/>
      </w:pPr>
    </w:p>
    <w:p>
      <w:pPr>
        <w:spacing w:after="160" w:before="0"/>
        <w:jc w:val="left"/>
      </w:pPr>
      <w:r>
        <w:rPr>
          <w:rFonts w:ascii="Calibri" w:hAnsi="Calibri"/>
          <w:b w:val="0"/>
          <w:color w:val="09152A"/>
          <w:sz w:val="22"/>
        </w:rPr>
        <w:t>I take care with the details because I know that inaccurate reporting erodes trust fast, and rebuilding it is hard. I also know how to present findings in plain language — I have spent years translating analytical outputs for operations managers, sales leads, and executives who need to act on data, not study it.</w:t>
      </w:r>
    </w:p>
    <w:p>
      <w:pPr>
        <w:spacing w:after="80" w:before="0"/>
        <w:jc w:val="left"/>
      </w:pPr>
    </w:p>
    <w:p>
      <w:pPr>
        <w:spacing w:after="160" w:before="0"/>
        <w:jc w:val="left"/>
      </w:pPr>
      <w:r>
        <w:rPr>
          <w:rFonts w:ascii="Calibri" w:hAnsi="Calibri"/>
          <w:b w:val="0"/>
          <w:color w:val="09152A"/>
          <w:sz w:val="22"/>
        </w:rPr>
        <w:t>I would be glad to contribute that combination of technical execution and clear communication to Microflexinfra.</w:t>
      </w:r>
    </w:p>
    <w:p>
      <w:pPr>
        <w:spacing w:after="80" w:before="0"/>
        <w:jc w:val="left"/>
      </w:pPr>
    </w:p>
    <w:p>
      <w:pPr>
        <w:spacing w:after="120" w:before="0"/>
        <w:jc w:val="left"/>
      </w:pPr>
    </w:p>
    <w:p>
      <w:pPr>
        <w:spacing w:after="0" w:before="0"/>
        <w:jc w:val="left"/>
      </w:pPr>
      <w:r>
        <w:rPr>
          <w:rFonts w:ascii="Calibri" w:hAnsi="Calibri"/>
          <w:b w:val="0"/>
          <w:color w:val="09152A"/>
          <w:sz w:val="22"/>
        </w:rPr>
        <w:t>Sincerely,</w:t>
      </w:r>
    </w:p>
    <w:p>
      <w:pPr>
        <w:spacing w:after="160" w:before="0"/>
        <w:jc w:val="left"/>
      </w:pPr>
      <w:r>
        <w:rPr>
          <w:rFonts w:ascii="Calibri" w:hAnsi="Calibri"/>
          <w:b w:val="0"/>
          <w:color w:val="09152A"/>
          <w:sz w:val="22"/>
        </w:rPr>
        <w:t>Alexander Tobin</w:t>
      </w:r>
    </w:p>
    <w:sectPr w:rsidR="00FC693F" w:rsidRPr="0006063C" w:rsidSect="00034616">
      <w:pgSz w:w="12240" w:h="15840"/>
      <w:pgMar w:top="1152" w:right="1584"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