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Alexander Tobin</w:t>
      </w: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(757) 289-1204 | atobin@alum.utk.edu | Virginia Beach, VA</w:t>
      </w:r>
    </w:p>
    <w:p>
      <w:pPr>
        <w:spacing w:after="160"/>
        <w:pBdr>
          <w:bottom w:val="single" w:sz="16" w:space="1" w:color="1B7A8C"/>
        </w:pBdr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June 29, 2026</w:t>
      </w:r>
    </w:p>
    <w:p>
      <w:pPr>
        <w:spacing w:after="120" w:before="0"/>
        <w:jc w:val="left"/>
      </w:pP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Hiring Team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---</w:t>
      </w:r>
    </w:p>
    <w:p>
      <w:pPr>
        <w:spacing w:after="80" w:before="0"/>
        <w:jc w:val="left"/>
      </w:pPr>
    </w:p>
    <w:p>
      <w:pPr>
        <w:spacing w:after="200" w:before="0"/>
        <w:jc w:val="left"/>
      </w:pPr>
      <w:r>
        <w:rPr>
          <w:rFonts w:ascii="Calibri" w:hAnsi="Calibri"/>
          <w:b/>
          <w:color w:val="09152A"/>
          <w:sz w:val="22"/>
        </w:rPr>
        <w:t>Dear Hiring Team,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writing to apply for the Senior Ads &amp; Reporting Strategist role. My background spans data analytics, performance reporting, and digital marketing — and the core demand of this role, translating campaign performance into clear strategic narrative for clients, is something I have been doing in different contexts throughout my career.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My approach to performance data has always been structured around the three questions your posting describes: what is happening, why is it happening, and what are we doing about it. At Ferguson Enterprises, I built executive reporting infrastructure in Power BI and Excel that surfaced performance trends and gave leadership data-backed direction — not just metrics, but interpretation and recommended action. At Catalyzt Nutrition I owned analytics and reporting across marketing and operations, translating complex multi-source data into clear recommendations that drove decisions. And as a business owner running paid Meta and Google campaigns, I was accountable to cost-per-lead and conversion performance directly — managing targeting, creative testing, and budget allocation with real dollars on the line.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want to be transparent that my paid media management experience has been primarily in-house and owner-operated rather than managing a portfolio of client accounts at agency scale. What I bring is strong analytical discipline, clear written communication, a Google Ads certification, and the ability to connect performance data to business outcomes in a way clients can act on. I am confident I can grow quickly into the client portfolio demands of this role.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would welcome the chance to discuss how my background fits the team's needs.</w:t>
      </w:r>
    </w:p>
    <w:p>
      <w:pPr>
        <w:spacing w:after="80" w:before="0"/>
        <w:jc w:val="left"/>
      </w:pPr>
    </w:p>
    <w:p>
      <w:pPr>
        <w:spacing w:after="12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2"/>
        </w:rPr>
        <w:t>Sincerely,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Alexander Tobin</w:t>
      </w:r>
    </w:p>
    <w:sectPr w:rsidR="00FC693F" w:rsidRPr="0006063C" w:rsidSect="00034616">
      <w:pgSz w:w="12240" w:h="15840"/>
      <w:pgMar w:top="1152" w:right="1584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