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2026-07-27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Functional Mapping Architect contract role. The core of what this engagement requires — assessing EDI mapping frameworks, documenting end-to-end transaction flows, conducting technical interviews to surface undocumented business rules, and producing architecture documentation that makes complex integration systems understandable to stakeholders — is work I have done in production enterprise environments.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owned end-to-end trading partner onboarding to the enterprise B2B EDI platform: partner configuration, mapping setup, validation rule implementation, and transmission testing across FTP, SFTP, and AS2 connections. I developed deep working knowledge of ANSI X12 transaction sets across the full order-to-cash and fulfillment cycle — 810, 846, 850, 855, 856 — as well as EDI integration documentation practices that meet the standards this role describes. I authored source-to-target mapping documentation, vendor-facing integration guides, and data lineage records; worked with SPS Commerce for trading partner connectivity; leveraged XML for cross-system data exchange; and used SQL against MS SQL Server to query EDI transaction data and debug integration issues. Throughout that work, I collaborated directly with business stakeholders, trading partners, and engineering teams to capture undocumented processing rules and standardize integration workflows.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documentation side, my standard practice is producing the kind of comprehensive, version-controlled technical documentation that lets another person pick up a system without asking questions — source-to-target mappings, process maps, integration specifications, and governance records that remain accurate as systems evolve. That is exactly the deliverable this contract calls for. I want to be straightforward that the 8–10+ years of enterprise EDI architecture experience at the requirement level is beyond my current scope, and I have not worked with IBM Sterling, BizTalk, or MuleSoft specifically. If the hands-on EDI integration, mapping lifecycle, and technical documentation experience translates for this engagement, I would welcome the conversation.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